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1FE94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МЕКТЕПКЕ ДЕЙІНГІ ТӘРБИЕ МЕН ОҚЫТУДЫҢ</w:t>
      </w: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ҮЛГІЛІК ОҚУ ЖОСПАРЫ</w:t>
      </w:r>
    </w:p>
    <w:p w14:paraId="16DB9AF8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Бөбекжай меңгерушісі мен әдіскерге арналған қысқаша практикалық шпаргалка</w:t>
      </w:r>
    </w:p>
    <w:p w14:paraId="729EED9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Құжаттың негізі: </w:t>
      </w:r>
      <w:r>
        <w:rPr>
          <w:rFonts w:hint="default" w:ascii="Times New Roman" w:hAnsi="Times New Roman" w:cs="Times New Roman"/>
          <w:sz w:val="28"/>
          <w:szCs w:val="28"/>
        </w:rPr>
        <w:t>ҚР Білім және ғылым министрінің 2012 жылғы 20 желтоқсандағы №557 бұйрығы, Әділет министрлігінде №8275 болып тіркелген. Құжат мектепке дейінгі ұйымдардағы тәрбиелеу-білім беру процесінің оқу жүктемесін ұйымдастыруға негіз болады.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6"/>
      </w:tblGrid>
      <w:tr w14:paraId="07751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shd w:val="clear" w:color="auto" w:fill="EAF3F8"/>
          </w:tcPr>
          <w:p w14:paraId="562AF70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ЕҢ БАСТЫСЫ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Үлгілік оқу жоспары әр жас тобында қандай ұйымдастырылған іс-әрекет жүргізілетінін және апталық нормативтік жүктемені айқындайды. Жылдық жоспар, перспективалық жоспар және күн тәртібі осы талаптарға қайшы келмеуі тиіс.</w:t>
            </w:r>
          </w:p>
        </w:tc>
      </w:tr>
    </w:tbl>
    <w:p w14:paraId="25C0605A">
      <w:pPr>
        <w:rPr>
          <w:rFonts w:hint="default" w:ascii="Times New Roman" w:hAnsi="Times New Roman" w:cs="Times New Roman"/>
          <w:b/>
          <w:sz w:val="28"/>
          <w:szCs w:val="28"/>
        </w:rPr>
      </w:pPr>
    </w:p>
    <w:p w14:paraId="5C08161D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t>1. Жас топтары бойынша неге назар аударамыз?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2550"/>
        <w:gridCol w:w="4371"/>
      </w:tblGrid>
      <w:tr w14:paraId="496C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4" w:type="dxa"/>
            <w:shd w:val="clear" w:color="auto" w:fill="D9EAF7"/>
          </w:tcPr>
          <w:p w14:paraId="136FEF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Топ</w:t>
            </w:r>
          </w:p>
        </w:tc>
        <w:tc>
          <w:tcPr>
            <w:tcW w:w="2550" w:type="dxa"/>
            <w:shd w:val="clear" w:color="auto" w:fill="D9EAF7"/>
          </w:tcPr>
          <w:p w14:paraId="670E14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Жасы</w:t>
            </w:r>
          </w:p>
        </w:tc>
        <w:tc>
          <w:tcPr>
            <w:tcW w:w="4371" w:type="dxa"/>
            <w:shd w:val="clear" w:color="auto" w:fill="D9EAF7"/>
          </w:tcPr>
          <w:p w14:paraId="23320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Практикалық мәні</w:t>
            </w:r>
          </w:p>
        </w:tc>
      </w:tr>
      <w:tr w14:paraId="56B9E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4" w:type="dxa"/>
            <w:vAlign w:val="center"/>
          </w:tcPr>
          <w:p w14:paraId="40391E1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Кіші топ</w:t>
            </w:r>
          </w:p>
        </w:tc>
        <w:tc>
          <w:tcPr>
            <w:tcW w:w="2550" w:type="dxa"/>
            <w:vAlign w:val="center"/>
          </w:tcPr>
          <w:p w14:paraId="5CA78D1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 жастағы балалар</w:t>
            </w:r>
          </w:p>
        </w:tc>
        <w:tc>
          <w:tcPr>
            <w:tcW w:w="4371" w:type="dxa"/>
            <w:vAlign w:val="center"/>
          </w:tcPr>
          <w:p w14:paraId="51B0561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Жүктеме баланың жасына сай жеңіл, ойын және қимыл әрекетіне негізделеді.</w:t>
            </w:r>
          </w:p>
        </w:tc>
      </w:tr>
      <w:tr w14:paraId="61235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4" w:type="dxa"/>
            <w:vAlign w:val="center"/>
          </w:tcPr>
          <w:p w14:paraId="0DA1BF2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Ортаңғы топ</w:t>
            </w:r>
          </w:p>
        </w:tc>
        <w:tc>
          <w:tcPr>
            <w:tcW w:w="2550" w:type="dxa"/>
            <w:vAlign w:val="center"/>
          </w:tcPr>
          <w:p w14:paraId="12F664E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 жастағы балалар</w:t>
            </w:r>
          </w:p>
        </w:tc>
        <w:tc>
          <w:tcPr>
            <w:tcW w:w="4371" w:type="dxa"/>
            <w:vAlign w:val="center"/>
          </w:tcPr>
          <w:p w14:paraId="6497AC0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Сөйлеу, қимыл, таным, шығармашылық және әлеуметтік дағдылар кешенді дамытылады.</w:t>
            </w:r>
          </w:p>
        </w:tc>
      </w:tr>
      <w:tr w14:paraId="7D4E1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4" w:type="dxa"/>
            <w:vAlign w:val="center"/>
          </w:tcPr>
          <w:p w14:paraId="1EB6586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Ересек топ</w:t>
            </w:r>
          </w:p>
        </w:tc>
        <w:tc>
          <w:tcPr>
            <w:tcW w:w="2550" w:type="dxa"/>
            <w:vAlign w:val="center"/>
          </w:tcPr>
          <w:p w14:paraId="7A1060D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 жастағы балалар</w:t>
            </w:r>
          </w:p>
        </w:tc>
        <w:tc>
          <w:tcPr>
            <w:tcW w:w="4371" w:type="dxa"/>
            <w:vAlign w:val="center"/>
          </w:tcPr>
          <w:p w14:paraId="5F509EA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Баланың дербестігі, қарым-қатынасы, зерттеуі, шығармашылығы мен қимыл белсенділігі кеңейтіледі.</w:t>
            </w:r>
          </w:p>
        </w:tc>
      </w:tr>
      <w:tr w14:paraId="1FBD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4" w:type="dxa"/>
            <w:vAlign w:val="center"/>
          </w:tcPr>
          <w:p w14:paraId="0AC0A88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Мектепалды топ/сынып</w:t>
            </w:r>
          </w:p>
        </w:tc>
        <w:tc>
          <w:tcPr>
            <w:tcW w:w="2550" w:type="dxa"/>
            <w:vAlign w:val="center"/>
          </w:tcPr>
          <w:p w14:paraId="77743FF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 жастағы балалар</w:t>
            </w:r>
          </w:p>
        </w:tc>
        <w:tc>
          <w:tcPr>
            <w:tcW w:w="4371" w:type="dxa"/>
            <w:vAlign w:val="center"/>
          </w:tcPr>
          <w:p w14:paraId="11B92CB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Мектепке дайындық кешенді жүргізіледі; тек оқу-жазуға емес, баланың барлық даму бағытына мән беріледі.</w:t>
            </w:r>
          </w:p>
        </w:tc>
      </w:tr>
    </w:tbl>
    <w:p w14:paraId="0F4D1B39">
      <w:pPr>
        <w:rPr>
          <w:rFonts w:hint="default" w:ascii="Times New Roman" w:hAnsi="Times New Roman" w:cs="Times New Roman"/>
          <w:b/>
          <w:color w:val="1F4E79"/>
          <w:sz w:val="28"/>
          <w:szCs w:val="28"/>
        </w:rPr>
      </w:pPr>
    </w:p>
    <w:p w14:paraId="680CC935">
      <w:pPr>
        <w:rPr>
          <w:rFonts w:hint="default" w:ascii="Times New Roman" w:hAnsi="Times New Roman" w:cs="Times New Roman"/>
          <w:b/>
          <w:color w:val="1F4E79"/>
          <w:sz w:val="28"/>
          <w:szCs w:val="28"/>
        </w:rPr>
      </w:pPr>
    </w:p>
    <w:p w14:paraId="71220102">
      <w:pPr>
        <w:rPr>
          <w:rFonts w:hint="default" w:ascii="Times New Roman" w:hAnsi="Times New Roman" w:cs="Times New Roman"/>
          <w:b/>
          <w:color w:val="1F4E79"/>
          <w:sz w:val="28"/>
          <w:szCs w:val="28"/>
        </w:rPr>
      </w:pPr>
    </w:p>
    <w:p w14:paraId="7E55D63F">
      <w:pPr>
        <w:rPr>
          <w:rFonts w:hint="default" w:ascii="Times New Roman" w:hAnsi="Times New Roman" w:cs="Times New Roman"/>
          <w:b/>
          <w:color w:val="1F4E79"/>
          <w:sz w:val="28"/>
          <w:szCs w:val="28"/>
        </w:rPr>
      </w:pPr>
    </w:p>
    <w:p w14:paraId="42273B0B">
      <w:pPr>
        <w:rPr>
          <w:rFonts w:hint="default" w:ascii="Times New Roman" w:hAnsi="Times New Roman" w:cs="Times New Roman"/>
          <w:b/>
          <w:color w:val="1F4E79"/>
          <w:sz w:val="28"/>
          <w:szCs w:val="28"/>
        </w:rPr>
      </w:pPr>
    </w:p>
    <w:p w14:paraId="09DEF5E8">
      <w:pPr>
        <w:rPr>
          <w:rFonts w:hint="default" w:ascii="Times New Roman" w:hAnsi="Times New Roman" w:cs="Times New Roman"/>
          <w:b/>
          <w:color w:val="1F4E79"/>
          <w:sz w:val="28"/>
          <w:szCs w:val="28"/>
        </w:rPr>
      </w:pPr>
    </w:p>
    <w:p w14:paraId="43E208B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2. Негізгі ұйымдастырылған іс-әрекеттер</w:t>
      </w:r>
    </w:p>
    <w:p w14:paraId="5B771A98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Дене шынықтыру.</w:t>
      </w:r>
    </w:p>
    <w:p w14:paraId="71B2F546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Сөйлеуді дамыту және көркем әдебиет.</w:t>
      </w:r>
    </w:p>
    <w:p w14:paraId="280D3604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Қазақ тілі – тиісті жас топтарында үлгілік жоспарға сәйкес.</w:t>
      </w:r>
    </w:p>
    <w:p w14:paraId="00F06492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Сенсорика немесе математика негіздері – жас ерекшелігіне қарай.</w:t>
      </w:r>
    </w:p>
    <w:p w14:paraId="1C49A38E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Қоршаған ортамен таныстыру.</w:t>
      </w:r>
    </w:p>
    <w:p w14:paraId="5EDF3806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Сурет салу, мүсіндеу, жапсыру және құрастыру.</w:t>
      </w:r>
    </w:p>
    <w:p w14:paraId="08FE9697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Музыка.</w:t>
      </w:r>
    </w:p>
    <w:p w14:paraId="2A0BE592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Мектепалды жаста сауат ашу негіздері және үлгілік жоспар көздеген басқа бағыттар.</w:t>
      </w:r>
    </w:p>
    <w:p w14:paraId="42E380E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3. Педагог қалай ұйымдастырады?</w:t>
      </w:r>
    </w:p>
    <w:p w14:paraId="28719522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Ұйымдастырылған іс-әрекетті тек «сабақ» түрінде өткізу міндетті емес.</w:t>
      </w:r>
    </w:p>
    <w:p w14:paraId="64C83C81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Іс-әрекеттер ойын, қозғалыс, зерттеу, шығармашылық, қарым-қатынас және күнделікті режимдік сәттермен кіріктіріледі.</w:t>
      </w:r>
    </w:p>
    <w:p w14:paraId="4578C636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Балаларға ұзақ түсіндіруден гөрі көрсетуге және баланың өзі орындауына көбірек мүмкіндік беріледі.</w:t>
      </w:r>
    </w:p>
    <w:p w14:paraId="14E11D85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Баланың қызығушылығы, жас ерекшелігі және жеке даму қарқыны ескеріледі.</w:t>
      </w:r>
    </w:p>
    <w:p w14:paraId="3DE138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4. Әдіскер нені тексереді?</w:t>
      </w:r>
    </w:p>
    <w:p w14:paraId="0C2A0025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Топтың жас құрамы дұрыс анықталған ба.</w:t>
      </w:r>
    </w:p>
    <w:p w14:paraId="178D31C5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Перспективалық жоспар үлгілік оқу жоспары мен бағдарламаға сәйкес пе.</w:t>
      </w:r>
    </w:p>
    <w:p w14:paraId="56968DD4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Ұйымдастырылған іс-әрекеттердің апталық көлемі талапқа сай ма.</w:t>
      </w:r>
    </w:p>
    <w:p w14:paraId="5AD18ACE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Күн тәртібі мен іс-әрекет баланың жасына шамадан тыс жүктеме түсірмей ме.</w:t>
      </w:r>
    </w:p>
    <w:p w14:paraId="02FBF78D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Педагог іс-әрекетті ойын және басқа балалар әрекетімен кіріктіре ме.</w:t>
      </w:r>
    </w:p>
    <w:p w14:paraId="1901324B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Музыка, дене шынықтыру, қазақ тілі және басқа бағыттар тиісті көлемде ұйымдастырылған ба.</w:t>
      </w:r>
    </w:p>
    <w:p w14:paraId="089E9A8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5. Меңгеруші үшін маңызды</w:t>
      </w:r>
    </w:p>
    <w:p w14:paraId="7391A29C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Бөбекжайдың тәрбиелеу-білім беру процесі үлгілік оқу жоспары, мемлекеттік стандарт және үлгілік оқу бағдарламасымен өзара сәйкестікте ұйымдастырылуы тиіс.</w:t>
      </w:r>
    </w:p>
    <w:p w14:paraId="5B8D0E69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Педагогтердің жұмыс жүктемесі мен мамандардың жұмысын жоспарлағанда жас топтарының нақты қажеттілігі ескеріледі.</w:t>
      </w:r>
    </w:p>
    <w:p w14:paraId="17440084">
      <w:pPr>
        <w:spacing w:after="40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Тексеру немесе өзін-өзі бағалау кезінде жоспарлардың бір-біріне сәйкестігі маңызды: жас тобы → үлгілік оқу жоспары → бағдарлама → перспективалық жоспар → циклограмма → нақты жұмыс.</w:t>
      </w:r>
    </w:p>
    <w:p w14:paraId="5752FA6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6. Тексеруге арналған қысқа чек-парақ</w:t>
      </w:r>
    </w:p>
    <w:p w14:paraId="66F4C8AB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Әр топтың жасы құжатта дұрыс көрсетілген.</w:t>
      </w:r>
    </w:p>
    <w:p w14:paraId="72C46385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Үлгілік оқу жоспарының қолданыстағы редакциясы бар.</w:t>
      </w:r>
    </w:p>
    <w:p w14:paraId="031D673F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Перспективалық жоспар жас тобына сәйкес.</w:t>
      </w:r>
    </w:p>
    <w:p w14:paraId="5410C4DB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Циклограмма перспективалық жоспармен байланысты.</w:t>
      </w:r>
    </w:p>
    <w:p w14:paraId="5F9749EF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Ұйымдастырылған іс-әрекет көлемі нормативтен ауытқымайды.</w:t>
      </w:r>
    </w:p>
    <w:p w14:paraId="257A9323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Музыка және дене шынықтыру жүйелі жоспарланған.</w:t>
      </w:r>
    </w:p>
    <w:p w14:paraId="1A848B87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Қазақ тілі тиісті жас тобы бойынша қарастырылған.</w:t>
      </w:r>
    </w:p>
    <w:p w14:paraId="0A960770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Баланың күні шамадан тыс «сабаққа» толтырылмаған.</w:t>
      </w:r>
    </w:p>
    <w:p w14:paraId="5CB353E5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Ойын, еркін әрекет, қозғалыс, серуен және демалыс сақталған.</w:t>
      </w:r>
    </w:p>
    <w:p w14:paraId="424F5F0D">
      <w:pPr>
        <w:spacing w:after="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Құжаттағы жоспар мен топтағы нақты жұмыс бір-біріне сәйкес.</w:t>
      </w:r>
    </w:p>
    <w:p w14:paraId="563F0FD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Ескерту: </w:t>
      </w:r>
      <w:r>
        <w:rPr>
          <w:rFonts w:hint="default" w:ascii="Times New Roman" w:hAnsi="Times New Roman" w:cs="Times New Roman"/>
          <w:sz w:val="28"/>
          <w:szCs w:val="28"/>
        </w:rPr>
        <w:t>№557 бұйрыққа өзгерістер енгізіліп отырады. Нақты апталық сағат/ұйымдастырылған іс-әрекет санын бекітер алдында «Әділет» АҚЖ-дағы қолданыстағы қосымшамен міндетті түрде салыстыру қажет.</w:t>
      </w:r>
    </w:p>
    <w:p w14:paraId="5277BBA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Ресми дереккөз: </w:t>
      </w:r>
      <w:r>
        <w:rPr>
          <w:rFonts w:hint="default" w:ascii="Times New Roman" w:hAnsi="Times New Roman" w:cs="Times New Roman"/>
          <w:sz w:val="28"/>
          <w:szCs w:val="28"/>
        </w:rPr>
        <w:t>«Әділет» АҚЖ — Қазақстан Республикасында мектепке дейінгі тәрбие мен оқытудың үлгілік оқу жоспарларын бекіту туралы, ҚР БҒМ 20.12.2012 №557 бұйрығы, тіркеу №8275.</w:t>
      </w:r>
    </w:p>
    <w:sectPr>
      <w:pgSz w:w="12240" w:h="15840"/>
      <w:pgMar w:top="650" w:right="907" w:bottom="850" w:left="90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CCA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uiPriority w:val="99"/>
  </w:style>
  <w:style w:type="character" w:customStyle="1" w:styleId="38">
    <w:name w:val="Footer Char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3319</Characters>
  <Lines>0</Lines>
  <Paragraphs>0</Paragraphs>
  <TotalTime>14</TotalTime>
  <ScaleCrop>false</ScaleCrop>
  <LinksUpToDate>false</LinksUpToDate>
  <CharactersWithSpaces>3757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Aizada Kyanishova</cp:lastModifiedBy>
  <cp:lastPrinted>2026-08-21T05:28:19Z</cp:lastPrinted>
  <dcterms:modified xsi:type="dcterms:W3CDTF">2026-08-21T05:40:01Z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eyJoZGlkIjoiYmFhNDI5YTk5ZTNhMjVmODRiODVhODcxMTA5MTk1NTkiLCJ1c2VySWQiOiI1Mzc3OTc2OTM5MDI3In0=</vt:lpwstr>
  </property>
  <property fmtid="{D5CDD505-2E9C-101B-9397-08002B2CF9AE}" pid="3" name="KSOProductBuildVer">
    <vt:lpwstr>1049-12.1.0.28032</vt:lpwstr>
  </property>
  <property fmtid="{D5CDD505-2E9C-101B-9397-08002B2CF9AE}" pid="4" name="ICV">
    <vt:lpwstr>C8C0949414964D61800B80789B86B2B6_13</vt:lpwstr>
  </property>
</Properties>
</file>