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AF154">
      <w:pPr>
        <w:jc w:val="center"/>
        <w:rPr>
          <w:rFonts w:hint="default" w:ascii="Times New Roman" w:hAnsi="Times New Roman" w:cs="Times New Roman"/>
          <w:sz w:val="28"/>
          <w:szCs w:val="28"/>
        </w:rPr>
      </w:pPr>
      <w:bookmarkStart w:id="0" w:name="_GoBack"/>
      <w:bookmarkEnd w:id="0"/>
      <w:r>
        <w:rPr>
          <w:rFonts w:hint="default" w:ascii="Times New Roman" w:hAnsi="Times New Roman" w:cs="Times New Roman"/>
          <w:b/>
          <w:sz w:val="28"/>
          <w:szCs w:val="28"/>
        </w:rPr>
        <w:t>ҚР «ОЙЫНШЫҚТАРДЫҢ ҚАУІПСІЗДІГІ ТУРАЛЫ» ЗАҢЫ</w:t>
      </w:r>
      <w:r>
        <w:rPr>
          <w:rFonts w:hint="default" w:ascii="Times New Roman" w:hAnsi="Times New Roman" w:cs="Times New Roman"/>
          <w:b/>
          <w:sz w:val="28"/>
          <w:szCs w:val="28"/>
        </w:rPr>
        <w:br w:type="textWrapping"/>
      </w:r>
      <w:r>
        <w:rPr>
          <w:rFonts w:hint="default" w:ascii="Times New Roman" w:hAnsi="Times New Roman" w:cs="Times New Roman"/>
          <w:b/>
          <w:sz w:val="28"/>
          <w:szCs w:val="28"/>
        </w:rPr>
        <w:t>Бөбекжайға арналған қысқаша практикалық шпаргалка</w:t>
      </w:r>
    </w:p>
    <w:p w14:paraId="6E807363">
      <w:pPr>
        <w:rPr>
          <w:rFonts w:hint="default" w:ascii="Times New Roman" w:hAnsi="Times New Roman" w:cs="Times New Roman"/>
          <w:sz w:val="28"/>
          <w:szCs w:val="28"/>
        </w:rPr>
      </w:pPr>
      <w:r>
        <w:rPr>
          <w:rFonts w:hint="default" w:ascii="Times New Roman" w:hAnsi="Times New Roman" w:cs="Times New Roman"/>
          <w:b/>
          <w:sz w:val="28"/>
          <w:szCs w:val="28"/>
        </w:rPr>
        <w:t xml:space="preserve">Негізі: </w:t>
      </w:r>
      <w:r>
        <w:rPr>
          <w:rFonts w:hint="default" w:ascii="Times New Roman" w:hAnsi="Times New Roman" w:cs="Times New Roman"/>
          <w:sz w:val="28"/>
          <w:szCs w:val="28"/>
        </w:rPr>
        <w:t>Қазақстан Республикасының 2007 жылғы 21 шілдедегі №306-III «Ойыншықтардың қауіпсіздігі туралы» Заңы. Бөбекжайда ойыншық сатып алу, қабылдау, пайдалану және балаларға беру кезінде қауіпсіздік талаптарын сақтау үшін қажет.</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4660"/>
        <w:gridCol w:w="3437"/>
      </w:tblGrid>
      <w:tr w14:paraId="75DB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214" w:type="dxa"/>
          </w:tcPr>
          <w:p w14:paraId="2388ED18">
            <w:pPr>
              <w:spacing w:after="0" w:line="240" w:lineRule="auto"/>
              <w:jc w:val="center"/>
              <w:rPr>
                <w:rFonts w:hint="default" w:ascii="Times New Roman" w:hAnsi="Times New Roman" w:cs="Times New Roman"/>
                <w:sz w:val="28"/>
                <w:szCs w:val="28"/>
              </w:rPr>
            </w:pPr>
            <w:r>
              <w:rPr>
                <w:rFonts w:hint="default" w:ascii="Times New Roman" w:hAnsi="Times New Roman" w:cs="Times New Roman"/>
                <w:b/>
                <w:sz w:val="28"/>
                <w:szCs w:val="28"/>
              </w:rPr>
              <w:t>Талап</w:t>
            </w:r>
          </w:p>
        </w:tc>
        <w:tc>
          <w:tcPr>
            <w:tcW w:w="4660" w:type="dxa"/>
          </w:tcPr>
          <w:p w14:paraId="5EDD1A4F">
            <w:pPr>
              <w:spacing w:after="0" w:line="240" w:lineRule="auto"/>
              <w:jc w:val="center"/>
              <w:rPr>
                <w:rFonts w:hint="default" w:ascii="Times New Roman" w:hAnsi="Times New Roman" w:cs="Times New Roman"/>
                <w:sz w:val="28"/>
                <w:szCs w:val="28"/>
              </w:rPr>
            </w:pPr>
            <w:r>
              <w:rPr>
                <w:rFonts w:hint="default" w:ascii="Times New Roman" w:hAnsi="Times New Roman" w:cs="Times New Roman"/>
                <w:b/>
                <w:sz w:val="28"/>
                <w:szCs w:val="28"/>
              </w:rPr>
              <w:t>Мағынасы</w:t>
            </w:r>
          </w:p>
        </w:tc>
        <w:tc>
          <w:tcPr>
            <w:tcW w:w="3437" w:type="dxa"/>
          </w:tcPr>
          <w:p w14:paraId="688D3C70">
            <w:pPr>
              <w:spacing w:after="0" w:line="240" w:lineRule="auto"/>
              <w:jc w:val="center"/>
              <w:rPr>
                <w:rFonts w:hint="default" w:ascii="Times New Roman" w:hAnsi="Times New Roman" w:cs="Times New Roman"/>
                <w:sz w:val="28"/>
                <w:szCs w:val="28"/>
              </w:rPr>
            </w:pPr>
            <w:r>
              <w:rPr>
                <w:rFonts w:hint="default" w:ascii="Times New Roman" w:hAnsi="Times New Roman" w:cs="Times New Roman"/>
                <w:b/>
                <w:sz w:val="28"/>
                <w:szCs w:val="28"/>
              </w:rPr>
              <w:t>Бөбекжайда не істеу керек</w:t>
            </w:r>
          </w:p>
        </w:tc>
      </w:tr>
      <w:tr w14:paraId="40117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tcPr>
          <w:p w14:paraId="46212AC6">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Негізгі қағида</w:t>
            </w:r>
          </w:p>
        </w:tc>
        <w:tc>
          <w:tcPr>
            <w:tcW w:w="4660" w:type="dxa"/>
          </w:tcPr>
          <w:p w14:paraId="29CBBF9B">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Ойыншық бала өмірі мен денсаулығына қауіп төндірмеуі тиіс.</w:t>
            </w:r>
          </w:p>
        </w:tc>
        <w:tc>
          <w:tcPr>
            <w:tcW w:w="3437" w:type="dxa"/>
          </w:tcPr>
          <w:p w14:paraId="65CB0577">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Сынған, өткір, қауіпті, улы иісті немесе күмәнді ойыншықты топқа бермеу.</w:t>
            </w:r>
          </w:p>
        </w:tc>
      </w:tr>
      <w:tr w14:paraId="2A40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tcPr>
          <w:p w14:paraId="3A1BB8D8">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Қауіпсіздік талаптары</w:t>
            </w:r>
          </w:p>
        </w:tc>
        <w:tc>
          <w:tcPr>
            <w:tcW w:w="4660" w:type="dxa"/>
          </w:tcPr>
          <w:p w14:paraId="3DB106DB">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Ойыншықтың механикалық, физикалық, химиялық, санитариялық және өзге қауіпсіздік талаптарына сәйкестігі қамтамасыз етіледі.</w:t>
            </w:r>
          </w:p>
        </w:tc>
        <w:tc>
          <w:tcPr>
            <w:tcW w:w="3437" w:type="dxa"/>
          </w:tcPr>
          <w:p w14:paraId="07A1DD96">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Ұсақ бөлшектер, өткір жиек, босап тұрған бұранда, сынған пластик сияқты қауіптерді тұрақты тексеру.</w:t>
            </w:r>
          </w:p>
        </w:tc>
      </w:tr>
      <w:tr w14:paraId="5229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tcPr>
          <w:p w14:paraId="1ACAF20C">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Баланың жасына сәйкестік</w:t>
            </w:r>
          </w:p>
        </w:tc>
        <w:tc>
          <w:tcPr>
            <w:tcW w:w="4660" w:type="dxa"/>
          </w:tcPr>
          <w:p w14:paraId="18772957">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Ойыншық баланың жас ерекшелігіне және мақсатына сәйкес қолданылуы тиіс.</w:t>
            </w:r>
          </w:p>
        </w:tc>
        <w:tc>
          <w:tcPr>
            <w:tcW w:w="3437" w:type="dxa"/>
          </w:tcPr>
          <w:p w14:paraId="7EDCAAF9">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2 жастағы балаларға ұсақ жұтылатын бөлшектері бар ойыншықтарды бермеу.</w:t>
            </w:r>
          </w:p>
        </w:tc>
      </w:tr>
      <w:tr w14:paraId="159D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tcPr>
          <w:p w14:paraId="3D4DD486">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Материал қауіпсіздігі</w:t>
            </w:r>
          </w:p>
        </w:tc>
        <w:tc>
          <w:tcPr>
            <w:tcW w:w="4660" w:type="dxa"/>
          </w:tcPr>
          <w:p w14:paraId="582CD186">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Ойыншық жасалған материалдар баланың денсаулығына зиян келтірмеуі керек.</w:t>
            </w:r>
          </w:p>
        </w:tc>
        <w:tc>
          <w:tcPr>
            <w:tcW w:w="3437" w:type="dxa"/>
          </w:tcPr>
          <w:p w14:paraId="4B6E049A">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Өткір иісті, бояуы қолға жұғатын, сапасы белгісіз материалдан жасалған ойыншықтарды қолданбау.</w:t>
            </w:r>
          </w:p>
        </w:tc>
      </w:tr>
      <w:tr w14:paraId="0567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tcPr>
          <w:p w14:paraId="66EF72CB">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Конструкция қауіпсіздігі</w:t>
            </w:r>
          </w:p>
        </w:tc>
        <w:tc>
          <w:tcPr>
            <w:tcW w:w="4660" w:type="dxa"/>
          </w:tcPr>
          <w:p w14:paraId="25AFB4B5">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Қалыпты пайдалану кезінде жарақат алу қаупін туғызбауы керек.</w:t>
            </w:r>
          </w:p>
        </w:tc>
        <w:tc>
          <w:tcPr>
            <w:tcW w:w="3437" w:type="dxa"/>
          </w:tcPr>
          <w:p w14:paraId="7B9B3BF5">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Өткір бұрыш, кесетін жиек, қысатын механизм, шығып тұрған сым болмауын қарау.</w:t>
            </w:r>
          </w:p>
        </w:tc>
      </w:tr>
      <w:tr w14:paraId="2C9E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tcPr>
          <w:p w14:paraId="37247B54">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Таңбалау және ақпарат</w:t>
            </w:r>
          </w:p>
        </w:tc>
        <w:tc>
          <w:tcPr>
            <w:tcW w:w="4660" w:type="dxa"/>
          </w:tcPr>
          <w:p w14:paraId="69B8F10C">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Ойыншық туралы қажетті ақпарат пен ескерту тұтынушыға түсінікті берілуі керек.</w:t>
            </w:r>
          </w:p>
        </w:tc>
        <w:tc>
          <w:tcPr>
            <w:tcW w:w="3437" w:type="dxa"/>
          </w:tcPr>
          <w:p w14:paraId="491B6A09">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Сатып алғанда жас санаты, өндіруші, қолдану ережесі және ескерту белгілерін қарау.</w:t>
            </w:r>
          </w:p>
        </w:tc>
      </w:tr>
      <w:tr w14:paraId="5BE6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tcPr>
          <w:p w14:paraId="1A71A1A8">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Сәйкестікті растау</w:t>
            </w:r>
          </w:p>
        </w:tc>
        <w:tc>
          <w:tcPr>
            <w:tcW w:w="4660" w:type="dxa"/>
          </w:tcPr>
          <w:p w14:paraId="64ABAE27">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Айналымға шығарылатын ойыншық белгіленген қауіпсіздік талаптарына сәйкес болуы тиіс.</w:t>
            </w:r>
          </w:p>
        </w:tc>
        <w:tc>
          <w:tcPr>
            <w:tcW w:w="3437" w:type="dxa"/>
          </w:tcPr>
          <w:p w14:paraId="5C1866CA">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Бөбекжайға құжатсыз және шығу тегі белгісіз ойыншықтарды сатып алмау.</w:t>
            </w:r>
          </w:p>
        </w:tc>
      </w:tr>
      <w:tr w14:paraId="0C0F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tcPr>
          <w:p w14:paraId="346A92BE">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Күтім және тазалау</w:t>
            </w:r>
          </w:p>
        </w:tc>
        <w:tc>
          <w:tcPr>
            <w:tcW w:w="4660" w:type="dxa"/>
          </w:tcPr>
          <w:p w14:paraId="3D15FD71">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Ойыншықты қауіпсіз жағдайда сақтау және мақсатына сай пайдалану қажет.</w:t>
            </w:r>
          </w:p>
        </w:tc>
        <w:tc>
          <w:tcPr>
            <w:tcW w:w="3437" w:type="dxa"/>
          </w:tcPr>
          <w:p w14:paraId="1BF01964">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Жуылатын ойыншықтарды санитариялық талапқа сай өңдеу, жұмсақ ойыншықтарды таза ұстау.</w:t>
            </w:r>
          </w:p>
        </w:tc>
      </w:tr>
      <w:tr w14:paraId="2B5D3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tcPr>
          <w:p w14:paraId="7704DF09">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Ақаулы ойыншық</w:t>
            </w:r>
          </w:p>
        </w:tc>
        <w:tc>
          <w:tcPr>
            <w:tcW w:w="4660" w:type="dxa"/>
          </w:tcPr>
          <w:p w14:paraId="6A230BBA">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Қауіп тудыратын ойыншық пайдаланудан алынуы керек.</w:t>
            </w:r>
          </w:p>
        </w:tc>
        <w:tc>
          <w:tcPr>
            <w:tcW w:w="3437" w:type="dxa"/>
          </w:tcPr>
          <w:p w14:paraId="669FA314">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Сынғанын бірден балалардан алып, жөндеу немесе есептен шығару.</w:t>
            </w:r>
          </w:p>
        </w:tc>
      </w:tr>
      <w:tr w14:paraId="557D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tcPr>
          <w:p w14:paraId="69B83BFF">
            <w:pPr>
              <w:spacing w:after="0" w:line="240" w:lineRule="auto"/>
              <w:rPr>
                <w:rFonts w:hint="default" w:ascii="Times New Roman" w:hAnsi="Times New Roman" w:cs="Times New Roman"/>
                <w:sz w:val="28"/>
                <w:szCs w:val="28"/>
              </w:rPr>
            </w:pPr>
            <w:r>
              <w:rPr>
                <w:rFonts w:hint="default" w:ascii="Times New Roman" w:hAnsi="Times New Roman" w:cs="Times New Roman"/>
                <w:b/>
                <w:sz w:val="28"/>
                <w:szCs w:val="28"/>
              </w:rPr>
              <w:t>Сатып алу кезіндегі бақылау</w:t>
            </w:r>
          </w:p>
        </w:tc>
        <w:tc>
          <w:tcPr>
            <w:tcW w:w="4660" w:type="dxa"/>
          </w:tcPr>
          <w:p w14:paraId="3A7451AE">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Қауіпсіздік талаптарына сәйкес өнімді таңдау қажет.</w:t>
            </w:r>
          </w:p>
        </w:tc>
        <w:tc>
          <w:tcPr>
            <w:tcW w:w="3437" w:type="dxa"/>
          </w:tcPr>
          <w:p w14:paraId="59DC4116">
            <w:pPr>
              <w:spacing w:after="0" w:line="240" w:lineRule="auto"/>
              <w:rPr>
                <w:rFonts w:hint="default" w:ascii="Times New Roman" w:hAnsi="Times New Roman" w:cs="Times New Roman"/>
                <w:sz w:val="28"/>
                <w:szCs w:val="28"/>
              </w:rPr>
            </w:pPr>
            <w:r>
              <w:rPr>
                <w:rFonts w:hint="default" w:ascii="Times New Roman" w:hAnsi="Times New Roman" w:cs="Times New Roman"/>
                <w:sz w:val="28"/>
                <w:szCs w:val="28"/>
              </w:rPr>
              <w:t>Мемлекеттік сатып алу/сатып алу сипаттамасында қауіпсіздік пен сәйкестік талаптарын көрсету.</w:t>
            </w:r>
          </w:p>
        </w:tc>
      </w:tr>
    </w:tbl>
    <w:p w14:paraId="5F60486C">
      <w:pPr>
        <w:rPr>
          <w:rFonts w:hint="default" w:ascii="Times New Roman" w:hAnsi="Times New Roman" w:cs="Times New Roman"/>
          <w:sz w:val="28"/>
          <w:szCs w:val="28"/>
        </w:rPr>
      </w:pPr>
    </w:p>
    <w:p w14:paraId="5AC7B28C">
      <w:pPr>
        <w:rPr>
          <w:rFonts w:hint="default" w:ascii="Times New Roman" w:hAnsi="Times New Roman" w:cs="Times New Roman"/>
          <w:sz w:val="28"/>
          <w:szCs w:val="28"/>
        </w:rPr>
      </w:pPr>
      <w:r>
        <w:rPr>
          <w:rFonts w:hint="default" w:ascii="Times New Roman" w:hAnsi="Times New Roman" w:cs="Times New Roman"/>
          <w:b/>
          <w:sz w:val="28"/>
          <w:szCs w:val="28"/>
        </w:rPr>
        <w:t>Бөбекжайда күнделікті тексеретін 12 нәрсе</w:t>
      </w:r>
    </w:p>
    <w:p w14:paraId="5CC100B4">
      <w:pPr>
        <w:spacing w:after="40"/>
        <w:rPr>
          <w:rFonts w:hint="default" w:ascii="Times New Roman" w:hAnsi="Times New Roman" w:cs="Times New Roman"/>
          <w:sz w:val="28"/>
          <w:szCs w:val="28"/>
        </w:rPr>
      </w:pPr>
      <w:r>
        <w:rPr>
          <w:rFonts w:hint="default" w:ascii="Times New Roman" w:hAnsi="Times New Roman" w:cs="Times New Roman"/>
          <w:sz w:val="28"/>
          <w:szCs w:val="28"/>
        </w:rPr>
        <w:t>☐ Ойыншық баланың жас тобына сәйкес пе?</w:t>
      </w:r>
    </w:p>
    <w:p w14:paraId="19B5CBE2">
      <w:pPr>
        <w:spacing w:after="40"/>
        <w:rPr>
          <w:rFonts w:hint="default" w:ascii="Times New Roman" w:hAnsi="Times New Roman" w:cs="Times New Roman"/>
          <w:sz w:val="28"/>
          <w:szCs w:val="28"/>
        </w:rPr>
      </w:pPr>
      <w:r>
        <w:rPr>
          <w:rFonts w:hint="default" w:ascii="Times New Roman" w:hAnsi="Times New Roman" w:cs="Times New Roman"/>
          <w:sz w:val="28"/>
          <w:szCs w:val="28"/>
        </w:rPr>
        <w:t>☐ Сынған немесе жарылған жері жоқ па?</w:t>
      </w:r>
    </w:p>
    <w:p w14:paraId="37AF5EE7">
      <w:pPr>
        <w:spacing w:after="40"/>
        <w:rPr>
          <w:rFonts w:hint="default" w:ascii="Times New Roman" w:hAnsi="Times New Roman" w:cs="Times New Roman"/>
          <w:sz w:val="28"/>
          <w:szCs w:val="28"/>
        </w:rPr>
      </w:pPr>
      <w:r>
        <w:rPr>
          <w:rFonts w:hint="default" w:ascii="Times New Roman" w:hAnsi="Times New Roman" w:cs="Times New Roman"/>
          <w:sz w:val="28"/>
          <w:szCs w:val="28"/>
        </w:rPr>
        <w:t>☐ Өткір қыры, ұшы немесе шығып тұрған бөлшегі жоқ па?</w:t>
      </w:r>
    </w:p>
    <w:p w14:paraId="7FDF7889">
      <w:pPr>
        <w:spacing w:after="40"/>
        <w:rPr>
          <w:rFonts w:hint="default" w:ascii="Times New Roman" w:hAnsi="Times New Roman" w:cs="Times New Roman"/>
          <w:sz w:val="28"/>
          <w:szCs w:val="28"/>
        </w:rPr>
      </w:pPr>
      <w:r>
        <w:rPr>
          <w:rFonts w:hint="default" w:ascii="Times New Roman" w:hAnsi="Times New Roman" w:cs="Times New Roman"/>
          <w:sz w:val="28"/>
          <w:szCs w:val="28"/>
        </w:rPr>
        <w:t>☐ Ұсақ бөлшектері ажырап, бала жұтып қоюы мүмкін емес пе?</w:t>
      </w:r>
    </w:p>
    <w:p w14:paraId="0185B0D5">
      <w:pPr>
        <w:spacing w:after="40"/>
        <w:rPr>
          <w:rFonts w:hint="default" w:ascii="Times New Roman" w:hAnsi="Times New Roman" w:cs="Times New Roman"/>
          <w:sz w:val="28"/>
          <w:szCs w:val="28"/>
        </w:rPr>
      </w:pPr>
      <w:r>
        <w:rPr>
          <w:rFonts w:hint="default" w:ascii="Times New Roman" w:hAnsi="Times New Roman" w:cs="Times New Roman"/>
          <w:sz w:val="28"/>
          <w:szCs w:val="28"/>
        </w:rPr>
        <w:t>☐ Бояуы кетпей ме, жағымсыз немесе өткір химиялық иісі жоқ па?</w:t>
      </w:r>
    </w:p>
    <w:p w14:paraId="0F15DF66">
      <w:pPr>
        <w:spacing w:after="40"/>
        <w:rPr>
          <w:rFonts w:hint="default" w:ascii="Times New Roman" w:hAnsi="Times New Roman" w:cs="Times New Roman"/>
          <w:sz w:val="28"/>
          <w:szCs w:val="28"/>
        </w:rPr>
      </w:pPr>
      <w:r>
        <w:rPr>
          <w:rFonts w:hint="default" w:ascii="Times New Roman" w:hAnsi="Times New Roman" w:cs="Times New Roman"/>
          <w:sz w:val="28"/>
          <w:szCs w:val="28"/>
        </w:rPr>
        <w:t>☐ Батарея салатын бөлігі бала оңай аша алмайтындай жабық па?</w:t>
      </w:r>
    </w:p>
    <w:p w14:paraId="74920154">
      <w:pPr>
        <w:spacing w:after="40"/>
        <w:rPr>
          <w:rFonts w:hint="default" w:ascii="Times New Roman" w:hAnsi="Times New Roman" w:cs="Times New Roman"/>
          <w:sz w:val="28"/>
          <w:szCs w:val="28"/>
        </w:rPr>
      </w:pPr>
      <w:r>
        <w:rPr>
          <w:rFonts w:hint="default" w:ascii="Times New Roman" w:hAnsi="Times New Roman" w:cs="Times New Roman"/>
          <w:sz w:val="28"/>
          <w:szCs w:val="28"/>
        </w:rPr>
        <w:t>☐ Сымдары мен электрлік элементтері қауіпсіз бе?</w:t>
      </w:r>
    </w:p>
    <w:p w14:paraId="31DD67DD">
      <w:pPr>
        <w:spacing w:after="40"/>
        <w:rPr>
          <w:rFonts w:hint="default" w:ascii="Times New Roman" w:hAnsi="Times New Roman" w:cs="Times New Roman"/>
          <w:sz w:val="28"/>
          <w:szCs w:val="28"/>
        </w:rPr>
      </w:pPr>
      <w:r>
        <w:rPr>
          <w:rFonts w:hint="default" w:ascii="Times New Roman" w:hAnsi="Times New Roman" w:cs="Times New Roman"/>
          <w:sz w:val="28"/>
          <w:szCs w:val="28"/>
        </w:rPr>
        <w:t>☐ Ойыншықты жууға немесе тазалауға бола ма?</w:t>
      </w:r>
    </w:p>
    <w:p w14:paraId="45307FEE">
      <w:pPr>
        <w:spacing w:after="40"/>
        <w:rPr>
          <w:rFonts w:hint="default" w:ascii="Times New Roman" w:hAnsi="Times New Roman" w:cs="Times New Roman"/>
          <w:sz w:val="28"/>
          <w:szCs w:val="28"/>
        </w:rPr>
      </w:pPr>
      <w:r>
        <w:rPr>
          <w:rFonts w:hint="default" w:ascii="Times New Roman" w:hAnsi="Times New Roman" w:cs="Times New Roman"/>
          <w:sz w:val="28"/>
          <w:szCs w:val="28"/>
        </w:rPr>
        <w:t>☐ Жұмсақ ойыншықтар таза және бүтін бе?</w:t>
      </w:r>
    </w:p>
    <w:p w14:paraId="72EA5AC6">
      <w:pPr>
        <w:spacing w:after="40"/>
        <w:rPr>
          <w:rFonts w:hint="default" w:ascii="Times New Roman" w:hAnsi="Times New Roman" w:cs="Times New Roman"/>
          <w:sz w:val="28"/>
          <w:szCs w:val="28"/>
        </w:rPr>
      </w:pPr>
      <w:r>
        <w:rPr>
          <w:rFonts w:hint="default" w:ascii="Times New Roman" w:hAnsi="Times New Roman" w:cs="Times New Roman"/>
          <w:sz w:val="28"/>
          <w:szCs w:val="28"/>
        </w:rPr>
        <w:t>☐ Ойыншықтың таңбалауы мен жас шектеуі бар ма?</w:t>
      </w:r>
    </w:p>
    <w:p w14:paraId="1D3CF725">
      <w:pPr>
        <w:spacing w:after="40"/>
        <w:rPr>
          <w:rFonts w:hint="default" w:ascii="Times New Roman" w:hAnsi="Times New Roman" w:cs="Times New Roman"/>
          <w:sz w:val="28"/>
          <w:szCs w:val="28"/>
        </w:rPr>
      </w:pPr>
      <w:r>
        <w:rPr>
          <w:rFonts w:hint="default" w:ascii="Times New Roman" w:hAnsi="Times New Roman" w:cs="Times New Roman"/>
          <w:sz w:val="28"/>
          <w:szCs w:val="28"/>
        </w:rPr>
        <w:t>☐ Сатып алынған өнімнің шығу тегі мен сәйкестігі расталған ба?</w:t>
      </w:r>
    </w:p>
    <w:p w14:paraId="0D369F42">
      <w:pPr>
        <w:spacing w:after="40"/>
        <w:rPr>
          <w:rFonts w:hint="default" w:ascii="Times New Roman" w:hAnsi="Times New Roman" w:cs="Times New Roman"/>
          <w:sz w:val="28"/>
          <w:szCs w:val="28"/>
        </w:rPr>
      </w:pPr>
      <w:r>
        <w:rPr>
          <w:rFonts w:hint="default" w:ascii="Times New Roman" w:hAnsi="Times New Roman" w:cs="Times New Roman"/>
          <w:sz w:val="28"/>
          <w:szCs w:val="28"/>
        </w:rPr>
        <w:t>☐ Ақаулы ойыншық балалардың қолы жетпейтін жерге дереу алынды ма?</w:t>
      </w:r>
    </w:p>
    <w:p w14:paraId="63AF8DD0">
      <w:pPr>
        <w:rPr>
          <w:rFonts w:hint="default" w:ascii="Times New Roman" w:hAnsi="Times New Roman" w:cs="Times New Roman"/>
          <w:sz w:val="28"/>
          <w:szCs w:val="28"/>
        </w:rPr>
      </w:pPr>
      <w:r>
        <w:rPr>
          <w:rFonts w:hint="default" w:ascii="Times New Roman" w:hAnsi="Times New Roman" w:cs="Times New Roman"/>
          <w:b/>
          <w:sz w:val="28"/>
          <w:szCs w:val="28"/>
        </w:rPr>
        <w:t xml:space="preserve">Ең маңыздысы: </w:t>
      </w:r>
      <w:r>
        <w:rPr>
          <w:rFonts w:hint="default" w:ascii="Times New Roman" w:hAnsi="Times New Roman" w:cs="Times New Roman"/>
          <w:sz w:val="28"/>
          <w:szCs w:val="28"/>
        </w:rPr>
        <w:t>ойыншықты тек сатып алған кезде емес, пайдалану барысында да бақылау керек. Топ тәрбиешісі күнделікті көзбен қарап, ақаулы ойыншықты дереу алып тастағаны дұрыс. Жалпы бақылауды жауапты тұлға немесе шаруашылыққа жауапты қызметкер жүйелі ұйымдастырады.</w:t>
      </w:r>
    </w:p>
    <w:p w14:paraId="221C759C">
      <w:r>
        <w:rPr>
          <w:rFonts w:hint="default" w:ascii="Times New Roman" w:hAnsi="Times New Roman" w:cs="Times New Roman"/>
          <w:b/>
          <w:sz w:val="28"/>
          <w:szCs w:val="28"/>
        </w:rPr>
        <w:t xml:space="preserve">Ресми дереккөз: </w:t>
      </w:r>
      <w:r>
        <w:rPr>
          <w:rFonts w:hint="default" w:ascii="Times New Roman" w:hAnsi="Times New Roman" w:cs="Times New Roman"/>
          <w:sz w:val="28"/>
          <w:szCs w:val="28"/>
        </w:rPr>
        <w:t>«Әділет» АҚЖ — ҚР 21.</w:t>
      </w:r>
      <w:r>
        <w:t>07.2007 №306-III «Ойыншықтардың қауіпсіздігі туралы» Заңы.</w:t>
      </w:r>
    </w:p>
    <w:sectPr>
      <w:pgSz w:w="12240" w:h="15840"/>
      <w:pgMar w:top="907" w:right="964" w:bottom="907" w:left="96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18"/>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8"/>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4"/>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7"/>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num w:numId="1">
    <w:abstractNumId w:val="0"/>
  </w:num>
  <w:num w:numId="2">
    <w:abstractNumId w:val="5"/>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B7744D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21"/>
      <w:szCs w:val="22"/>
      <w:lang w:val="en-US" w:eastAsia="en-US" w:bidi="ar-SA"/>
    </w:rPr>
  </w:style>
  <w:style w:type="paragraph" w:styleId="2">
    <w:name w:val="heading 1"/>
    <w:basedOn w:val="1"/>
    <w:next w:val="1"/>
    <w:link w:val="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Strong"/>
    <w:basedOn w:val="11"/>
    <w:qFormat/>
    <w:uiPriority w:val="22"/>
    <w:rPr>
      <w:b/>
      <w:bCs/>
    </w:rPr>
  </w:style>
  <w:style w:type="paragraph" w:styleId="15">
    <w:name w:val="List Continue"/>
    <w:basedOn w:val="1"/>
    <w:unhideWhenUsed/>
    <w:qFormat/>
    <w:uiPriority w:val="99"/>
    <w:pPr>
      <w:spacing w:after="120"/>
      <w:ind w:left="360"/>
      <w:contextualSpacing/>
    </w:pPr>
  </w:style>
  <w:style w:type="paragraph" w:styleId="16">
    <w:name w:val="Body Text 2"/>
    <w:basedOn w:val="1"/>
    <w:link w:val="47"/>
    <w:unhideWhenUsed/>
    <w:qFormat/>
    <w:uiPriority w:val="99"/>
    <w:pPr>
      <w:spacing w:after="120" w:line="480" w:lineRule="auto"/>
    </w:p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Number 3"/>
    <w:basedOn w:val="1"/>
    <w:unhideWhenUsed/>
    <w:qFormat/>
    <w:uiPriority w:val="99"/>
    <w:pPr>
      <w:numPr>
        <w:ilvl w:val="0"/>
        <w:numId w:val="1"/>
      </w:numPr>
      <w:contextualSpacing/>
    </w:pPr>
  </w:style>
  <w:style w:type="paragraph" w:styleId="19">
    <w:name w:val="header"/>
    <w:basedOn w:val="1"/>
    <w:link w:val="37"/>
    <w:unhideWhenUsed/>
    <w:qFormat/>
    <w:uiPriority w:val="99"/>
    <w:pPr>
      <w:tabs>
        <w:tab w:val="center" w:pos="4680"/>
        <w:tab w:val="right" w:pos="9360"/>
      </w:tabs>
      <w:spacing w:after="0" w:line="240" w:lineRule="auto"/>
    </w:pPr>
  </w:style>
  <w:style w:type="paragraph" w:styleId="20">
    <w:name w:val="Body Text"/>
    <w:basedOn w:val="1"/>
    <w:link w:val="46"/>
    <w:unhideWhenUsed/>
    <w:qFormat/>
    <w:uiPriority w:val="99"/>
    <w:pPr>
      <w:spacing w:after="120"/>
    </w:pPr>
  </w:style>
  <w:style w:type="paragraph" w:styleId="21">
    <w:name w:val="macro"/>
    <w:link w:val="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22">
    <w:name w:val="List Bullet"/>
    <w:basedOn w:val="1"/>
    <w:unhideWhenUsed/>
    <w:qFormat/>
    <w:uiPriority w:val="99"/>
    <w:pPr>
      <w:numPr>
        <w:ilvl w:val="0"/>
        <w:numId w:val="2"/>
      </w:numPr>
      <w:contextualSpacing/>
    </w:pPr>
  </w:style>
  <w:style w:type="paragraph" w:styleId="23">
    <w:name w:val="List Bullet 2"/>
    <w:basedOn w:val="1"/>
    <w:unhideWhenUsed/>
    <w:uiPriority w:val="99"/>
    <w:pPr>
      <w:numPr>
        <w:ilvl w:val="0"/>
        <w:numId w:val="3"/>
      </w:numPr>
      <w:contextualSpacing/>
    </w:pPr>
  </w:style>
  <w:style w:type="paragraph" w:styleId="24">
    <w:name w:val="List Bullet 3"/>
    <w:basedOn w:val="1"/>
    <w:unhideWhenUsed/>
    <w:qFormat/>
    <w:uiPriority w:val="99"/>
    <w:pPr>
      <w:numPr>
        <w:ilvl w:val="0"/>
        <w:numId w:val="4"/>
      </w:numPr>
      <w:contextualSpacing/>
    </w:pPr>
  </w:style>
  <w:style w:type="paragraph" w:styleId="25">
    <w:name w:val="Title"/>
    <w:basedOn w:val="1"/>
    <w:next w:val="1"/>
    <w:link w:val="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26">
    <w:name w:val="footer"/>
    <w:basedOn w:val="1"/>
    <w:link w:val="38"/>
    <w:unhideWhenUsed/>
    <w:qFormat/>
    <w:uiPriority w:val="99"/>
    <w:pPr>
      <w:tabs>
        <w:tab w:val="center" w:pos="4680"/>
        <w:tab w:val="right" w:pos="9360"/>
      </w:tabs>
      <w:spacing w:after="0" w:line="240" w:lineRule="auto"/>
    </w:pPr>
  </w:style>
  <w:style w:type="paragraph" w:styleId="27">
    <w:name w:val="List Number"/>
    <w:basedOn w:val="1"/>
    <w:unhideWhenUsed/>
    <w:qFormat/>
    <w:uiPriority w:val="99"/>
    <w:pPr>
      <w:numPr>
        <w:ilvl w:val="0"/>
        <w:numId w:val="5"/>
      </w:numPr>
      <w:contextualSpacing/>
    </w:pPr>
  </w:style>
  <w:style w:type="paragraph" w:styleId="28">
    <w:name w:val="List Number 2"/>
    <w:basedOn w:val="1"/>
    <w:unhideWhenUsed/>
    <w:uiPriority w:val="99"/>
    <w:pPr>
      <w:numPr>
        <w:ilvl w:val="0"/>
        <w:numId w:val="6"/>
      </w:numPr>
      <w:contextualSpacing/>
    </w:pPr>
  </w:style>
  <w:style w:type="paragraph" w:styleId="29">
    <w:name w:val="List"/>
    <w:basedOn w:val="1"/>
    <w:unhideWhenUsed/>
    <w:qFormat/>
    <w:uiPriority w:val="99"/>
    <w:pPr>
      <w:ind w:left="360" w:hanging="360"/>
      <w:contextualSpacing/>
    </w:pPr>
  </w:style>
  <w:style w:type="paragraph" w:styleId="30">
    <w:name w:val="Body Text 3"/>
    <w:basedOn w:val="1"/>
    <w:link w:val="48"/>
    <w:unhideWhenUsed/>
    <w:uiPriority w:val="99"/>
    <w:pPr>
      <w:spacing w:after="120"/>
    </w:pPr>
    <w:rPr>
      <w:sz w:val="16"/>
      <w:szCs w:val="16"/>
    </w:rPr>
  </w:style>
  <w:style w:type="paragraph" w:styleId="31">
    <w:name w:val="Subtitle"/>
    <w:basedOn w:val="1"/>
    <w:next w:val="1"/>
    <w:link w:val="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2">
    <w:name w:val="List Continue 2"/>
    <w:basedOn w:val="1"/>
    <w:unhideWhenUsed/>
    <w:qFormat/>
    <w:uiPriority w:val="99"/>
    <w:pPr>
      <w:spacing w:after="120"/>
      <w:ind w:left="720"/>
      <w:contextualSpacing/>
    </w:pPr>
  </w:style>
  <w:style w:type="paragraph" w:styleId="33">
    <w:name w:val="List Continue 3"/>
    <w:basedOn w:val="1"/>
    <w:unhideWhenUsed/>
    <w:qFormat/>
    <w:uiPriority w:val="99"/>
    <w:pPr>
      <w:spacing w:after="120"/>
      <w:ind w:left="1080"/>
      <w:contextualSpacing/>
    </w:pPr>
  </w:style>
  <w:style w:type="paragraph" w:styleId="34">
    <w:name w:val="List 2"/>
    <w:basedOn w:val="1"/>
    <w:unhideWhenUsed/>
    <w:qFormat/>
    <w:uiPriority w:val="99"/>
    <w:pPr>
      <w:ind w:left="720" w:hanging="360"/>
      <w:contextualSpacing/>
    </w:pPr>
  </w:style>
  <w:style w:type="paragraph" w:styleId="35">
    <w:name w:val="List 3"/>
    <w:basedOn w:val="1"/>
    <w:unhideWhenUsed/>
    <w:uiPriority w:val="99"/>
    <w:pPr>
      <w:ind w:left="1080" w:hanging="360"/>
      <w:contextualSpacing/>
    </w:pPr>
  </w:style>
  <w:style w:type="table" w:styleId="36">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7">
    <w:name w:val="Header Char"/>
    <w:basedOn w:val="11"/>
    <w:link w:val="19"/>
    <w:qFormat/>
    <w:uiPriority w:val="99"/>
  </w:style>
  <w:style w:type="character" w:customStyle="1" w:styleId="38">
    <w:name w:val="Footer Char"/>
    <w:basedOn w:val="11"/>
    <w:link w:val="26"/>
    <w:qFormat/>
    <w:uiPriority w:val="99"/>
  </w:style>
  <w:style w:type="paragraph" w:styleId="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40">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41">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2">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43">
    <w:name w:val="Title Char"/>
    <w:basedOn w:val="11"/>
    <w:link w:val="25"/>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44">
    <w:name w:val="Subtitle Char"/>
    <w:basedOn w:val="11"/>
    <w:link w:val="3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45">
    <w:name w:val="List Paragraph"/>
    <w:basedOn w:val="1"/>
    <w:qFormat/>
    <w:uiPriority w:val="34"/>
    <w:pPr>
      <w:ind w:left="720"/>
      <w:contextualSpacing/>
    </w:pPr>
  </w:style>
  <w:style w:type="character" w:customStyle="1" w:styleId="46">
    <w:name w:val="Body Text Char"/>
    <w:basedOn w:val="11"/>
    <w:link w:val="20"/>
    <w:qFormat/>
    <w:uiPriority w:val="99"/>
  </w:style>
  <w:style w:type="character" w:customStyle="1" w:styleId="47">
    <w:name w:val="Body Text 2 Char"/>
    <w:basedOn w:val="11"/>
    <w:link w:val="16"/>
    <w:qFormat/>
    <w:uiPriority w:val="99"/>
  </w:style>
  <w:style w:type="character" w:customStyle="1" w:styleId="48">
    <w:name w:val="Body Text 3 Char"/>
    <w:basedOn w:val="11"/>
    <w:link w:val="30"/>
    <w:qFormat/>
    <w:uiPriority w:val="99"/>
    <w:rPr>
      <w:sz w:val="16"/>
      <w:szCs w:val="16"/>
    </w:rPr>
  </w:style>
  <w:style w:type="character" w:customStyle="1" w:styleId="49">
    <w:name w:val="Macro Text Char"/>
    <w:basedOn w:val="11"/>
    <w:link w:val="21"/>
    <w:uiPriority w:val="99"/>
    <w:rPr>
      <w:rFonts w:ascii="Courier" w:hAnsi="Courier"/>
      <w:sz w:val="20"/>
      <w:szCs w:val="20"/>
    </w:rPr>
  </w:style>
  <w:style w:type="paragraph" w:styleId="50">
    <w:name w:val="Quote"/>
    <w:basedOn w:val="1"/>
    <w:next w:val="1"/>
    <w:link w:val="51"/>
    <w:qFormat/>
    <w:uiPriority w:val="29"/>
    <w:rPr>
      <w:i/>
      <w:iCs/>
      <w:color w:val="000000" w:themeColor="text1"/>
      <w14:textFill>
        <w14:solidFill>
          <w14:schemeClr w14:val="tx1"/>
        </w14:solidFill>
      </w14:textFill>
    </w:rPr>
  </w:style>
  <w:style w:type="character" w:customStyle="1" w:styleId="51">
    <w:name w:val="Quote Char"/>
    <w:basedOn w:val="11"/>
    <w:link w:val="50"/>
    <w:qFormat/>
    <w:uiPriority w:val="29"/>
    <w:rPr>
      <w:i/>
      <w:iCs/>
      <w:color w:val="000000" w:themeColor="text1"/>
      <w14:textFill>
        <w14:solidFill>
          <w14:schemeClr w14:val="tx1"/>
        </w14:solidFill>
      </w14:textFill>
    </w:rPr>
  </w:style>
  <w:style w:type="character" w:customStyle="1" w:styleId="52">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3">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54">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55">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6">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57">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58">
    <w:name w:val="Intense Quote"/>
    <w:basedOn w:val="1"/>
    <w:next w:val="1"/>
    <w:link w:val="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59">
    <w:name w:val="Intense Quote Char"/>
    <w:basedOn w:val="11"/>
    <w:link w:val="58"/>
    <w:qFormat/>
    <w:uiPriority w:val="30"/>
    <w:rPr>
      <w:b/>
      <w:bCs/>
      <w:i/>
      <w:iCs/>
      <w:color w:val="4F81BD" w:themeColor="accent1"/>
      <w14:textFill>
        <w14:solidFill>
          <w14:schemeClr w14:val="accent1"/>
        </w14:solidFill>
      </w14:textFill>
    </w:rPr>
  </w:style>
  <w:style w:type="character" w:customStyle="1" w:styleId="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1">
    <w:name w:val="Intense Emphasis"/>
    <w:basedOn w:val="11"/>
    <w:qFormat/>
    <w:uiPriority w:val="21"/>
    <w:rPr>
      <w:b/>
      <w:bCs/>
      <w:i/>
      <w:iCs/>
      <w:color w:val="4F81BD" w:themeColor="accent1"/>
      <w14:textFill>
        <w14:solidFill>
          <w14:schemeClr w14:val="accent1"/>
        </w14:solidFill>
      </w14:textFill>
    </w:rPr>
  </w:style>
  <w:style w:type="character" w:customStyle="1" w:styleId="62">
    <w:name w:val="Subtle Reference"/>
    <w:basedOn w:val="11"/>
    <w:qFormat/>
    <w:uiPriority w:val="31"/>
    <w:rPr>
      <w:smallCaps/>
      <w:color w:val="C0504D" w:themeColor="accent2"/>
      <w:u w:val="single"/>
      <w14:textFill>
        <w14:solidFill>
          <w14:schemeClr w14:val="accent2"/>
        </w14:solidFill>
      </w14:textFill>
    </w:rPr>
  </w:style>
  <w:style w:type="character" w:customStyle="1" w:styleId="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64">
    <w:name w:val="Book Title"/>
    <w:basedOn w:val="11"/>
    <w:qFormat/>
    <w:uiPriority w:val="33"/>
    <w:rPr>
      <w:b/>
      <w:bCs/>
      <w:smallCaps/>
      <w:spacing w:val="5"/>
    </w:rPr>
  </w:style>
  <w:style w:type="paragraph" w:customStyle="1" w:styleId="65">
    <w:name w:val="TOC Heading"/>
    <w:basedOn w:val="2"/>
    <w:next w:val="1"/>
    <w:semiHidden/>
    <w:unhideWhenUsed/>
    <w:qFormat/>
    <w:uiPriority w:val="39"/>
    <w:pPr>
      <w:outlineLvl w:val="9"/>
    </w:pPr>
  </w:style>
  <w:style w:type="table" w:styleId="66">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67">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68">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69">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70">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71">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72">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73">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74">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75">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76">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77">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78">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79">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80">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1">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82">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83">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84">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85">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86">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87">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88">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89">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90">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91">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92">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93">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94">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5">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6">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7">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8">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9">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0">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1">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02">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03">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14:textFill>
          <w14:solidFill>
            <w14:schemeClr w14:val="tx2"/>
          </w14:solidFill>
        </w14:textFill>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04">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14:textFill>
          <w14:solidFill>
            <w14:schemeClr w14:val="tx2"/>
          </w14:solidFill>
        </w14:textFill>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05">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14:textFill>
          <w14:solidFill>
            <w14:schemeClr w14:val="tx2"/>
          </w14:solidFill>
        </w14:textFill>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06">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14:textFill>
          <w14:solidFill>
            <w14:schemeClr w14:val="tx2"/>
          </w14:solidFill>
        </w14:textFill>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07">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14:textFill>
          <w14:solidFill>
            <w14:schemeClr w14:val="tx2"/>
          </w14:solidFill>
        </w14:textFill>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08">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09">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10">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11">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12">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13">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14">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15">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16">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cPr>
        <w:tcBorders>
          <w:top w:val="single" w:color="7BA0CD" w:themeColor="accent1" w:themeTint="BF"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17">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cPr>
        <w:tcBorders>
          <w:top w:val="single" w:color="CF7B79" w:themeColor="accent2" w:themeTint="BF"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18">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cPr>
        <w:tcBorders>
          <w:top w:val="single" w:color="B4CC82" w:themeColor="accent3" w:themeTint="BF"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19">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cPr>
        <w:tcBorders>
          <w:top w:val="single" w:color="9F8AB9" w:themeColor="accent4" w:themeTint="BF"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20">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cPr>
        <w:tcBorders>
          <w:top w:val="single" w:color="78C0D4" w:themeColor="accent5" w:themeTint="BF"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21">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cPr>
        <w:tcBorders>
          <w:top w:val="single" w:color="F9B074" w:themeColor="accent6" w:themeTint="BF"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22">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23">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cPr>
        <w:shd w:val="clear" w:color="auto" w:fill="EDF2F8" w:themeFill="accen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24">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cPr>
        <w:shd w:val="clear" w:color="auto" w:fill="F8EDED" w:themeFill="accent2"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25">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cPr>
        <w:shd w:val="clear" w:color="auto" w:fill="F5F8EE" w:themeFill="accent3"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26">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cPr>
        <w:shd w:val="clear" w:color="auto" w:fill="F2EFF5" w:themeFill="accent4"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27">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cPr>
        <w:shd w:val="clear" w:color="auto" w:fill="EDF6F9" w:themeFill="accent5"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28">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cPr>
        <w:shd w:val="clear" w:color="auto" w:fill="FEF4EC" w:themeFill="accent6"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29">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0">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31">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32">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33">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34">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35">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36">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37">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38">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39">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40">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41">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42">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43">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4">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5">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6">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47">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8">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9">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0">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51">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52">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53">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54">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55">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56">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57">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58">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14:textFill>
          <w14:solidFill>
            <w14:schemeClr w14:val="tx1"/>
          </w14:solidFill>
        </w14:textFill>
      </w:rPr>
      <w:tcPr>
        <w:shd w:val="clear" w:color="auto" w:fill="B8CCE4" w:themeFill="accent1" w:themeFillTint="66"/>
      </w:tcPr>
    </w:tblStylePr>
    <w:tblStylePr w:type="firstCol">
      <w:rPr>
        <w:color w:val="FFFFFF" w:themeColor="background1"/>
        <w14:textFill>
          <w14:solidFill>
            <w14:schemeClr w14:val="bg1"/>
          </w14:solidFill>
        </w14:textFill>
      </w:rPr>
      <w:tcPr>
        <w:shd w:val="clear" w:color="auto" w:fill="366091" w:themeFill="accent1" w:themeFillShade="BF"/>
      </w:tcPr>
    </w:tblStylePr>
    <w:tblStylePr w:type="lastCol">
      <w:rPr>
        <w:color w:val="FFFFFF" w:themeColor="background1"/>
        <w14:textFill>
          <w14:solidFill>
            <w14:schemeClr w14:val="bg1"/>
          </w14:solidFill>
        </w14:textFill>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59">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14:textFill>
          <w14:solidFill>
            <w14:schemeClr w14:val="tx1"/>
          </w14:solidFill>
        </w14:textFill>
      </w:rPr>
      <w:tcPr>
        <w:shd w:val="clear" w:color="auto" w:fill="E5B8B7" w:themeFill="accent2" w:themeFillTint="66"/>
      </w:tcPr>
    </w:tblStylePr>
    <w:tblStylePr w:type="firstCol">
      <w:rPr>
        <w:color w:val="FFFFFF" w:themeColor="background1"/>
        <w14:textFill>
          <w14:solidFill>
            <w14:schemeClr w14:val="bg1"/>
          </w14:solidFill>
        </w14:textFill>
      </w:rPr>
      <w:tcPr>
        <w:shd w:val="clear" w:color="auto" w:fill="943734" w:themeFill="accent2" w:themeFillShade="BF"/>
      </w:tcPr>
    </w:tblStylePr>
    <w:tblStylePr w:type="lastCol">
      <w:rPr>
        <w:color w:val="FFFFFF" w:themeColor="background1"/>
        <w14:textFill>
          <w14:solidFill>
            <w14:schemeClr w14:val="bg1"/>
          </w14:solidFill>
        </w14:textFill>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60">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14:textFill>
          <w14:solidFill>
            <w14:schemeClr w14:val="tx1"/>
          </w14:solidFill>
        </w14:textFill>
      </w:rPr>
      <w:tcPr>
        <w:shd w:val="clear" w:color="auto" w:fill="D6E3BC" w:themeFill="accent3" w:themeFillTint="66"/>
      </w:tcPr>
    </w:tblStylePr>
    <w:tblStylePr w:type="firstCol">
      <w:rPr>
        <w:color w:val="FFFFFF" w:themeColor="background1"/>
        <w14:textFill>
          <w14:solidFill>
            <w14:schemeClr w14:val="bg1"/>
          </w14:solidFill>
        </w14:textFill>
      </w:rPr>
      <w:tcPr>
        <w:shd w:val="clear" w:color="auto" w:fill="76923C" w:themeFill="accent3" w:themeFillShade="BF"/>
      </w:tcPr>
    </w:tblStylePr>
    <w:tblStylePr w:type="lastCol">
      <w:rPr>
        <w:color w:val="FFFFFF" w:themeColor="background1"/>
        <w14:textFill>
          <w14:solidFill>
            <w14:schemeClr w14:val="bg1"/>
          </w14:solidFill>
        </w14:textFill>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61">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14:textFill>
          <w14:solidFill>
            <w14:schemeClr w14:val="tx1"/>
          </w14:solidFill>
        </w14:textFill>
      </w:rPr>
      <w:tcPr>
        <w:shd w:val="clear" w:color="auto" w:fill="CCC0D9" w:themeFill="accent4" w:themeFillTint="66"/>
      </w:tcPr>
    </w:tblStylePr>
    <w:tblStylePr w:type="firstCol">
      <w:rPr>
        <w:color w:val="FFFFFF" w:themeColor="background1"/>
        <w14:textFill>
          <w14:solidFill>
            <w14:schemeClr w14:val="bg1"/>
          </w14:solidFill>
        </w14:textFill>
      </w:rPr>
      <w:tcPr>
        <w:shd w:val="clear" w:color="auto" w:fill="5F497A" w:themeFill="accent4" w:themeFillShade="BF"/>
      </w:tcPr>
    </w:tblStylePr>
    <w:tblStylePr w:type="lastCol">
      <w:rPr>
        <w:color w:val="FFFFFF" w:themeColor="background1"/>
        <w14:textFill>
          <w14:solidFill>
            <w14:schemeClr w14:val="bg1"/>
          </w14:solidFill>
        </w14:textFill>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62">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14:textFill>
          <w14:solidFill>
            <w14:schemeClr w14:val="tx1"/>
          </w14:solidFill>
        </w14:textFill>
      </w:rPr>
      <w:tcPr>
        <w:shd w:val="clear" w:color="auto" w:fill="B6DDE8" w:themeFill="accent5" w:themeFillTint="66"/>
      </w:tcPr>
    </w:tblStylePr>
    <w:tblStylePr w:type="firstCol">
      <w:rPr>
        <w:color w:val="FFFFFF" w:themeColor="background1"/>
        <w14:textFill>
          <w14:solidFill>
            <w14:schemeClr w14:val="bg1"/>
          </w14:solidFill>
        </w14:textFill>
      </w:rPr>
      <w:tcPr>
        <w:shd w:val="clear" w:color="auto" w:fill="31849B" w:themeFill="accent5" w:themeFillShade="BF"/>
      </w:tcPr>
    </w:tblStylePr>
    <w:tblStylePr w:type="lastCol">
      <w:rPr>
        <w:color w:val="FFFFFF" w:themeColor="background1"/>
        <w14:textFill>
          <w14:solidFill>
            <w14:schemeClr w14:val="bg1"/>
          </w14:solidFill>
        </w14:textFill>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63">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14:textFill>
          <w14:solidFill>
            <w14:schemeClr w14:val="tx1"/>
          </w14:solidFill>
        </w14:textFill>
      </w:rPr>
      <w:tcPr>
        <w:shd w:val="clear" w:color="auto" w:fill="FBD4B4" w:themeFill="accent6" w:themeFillTint="66"/>
      </w:tcPr>
    </w:tblStylePr>
    <w:tblStylePr w:type="firstCol">
      <w:rPr>
        <w:color w:val="FFFFFF" w:themeColor="background1"/>
        <w14:textFill>
          <w14:solidFill>
            <w14:schemeClr w14:val="bg1"/>
          </w14:solidFill>
        </w14:textFill>
      </w:rPr>
      <w:tcPr>
        <w:shd w:val="clear" w:color="auto" w:fill="E36C09" w:themeFill="accent6" w:themeFillShade="BF"/>
      </w:tcPr>
    </w:tblStylePr>
    <w:tblStylePr w:type="lastCol">
      <w:rPr>
        <w:color w:val="FFFFFF" w:themeColor="background1"/>
        <w14:textFill>
          <w14:solidFill>
            <w14:schemeClr w14:val="bg1"/>
          </w14:solidFill>
        </w14:textFill>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410</Words>
  <Characters>2731</Characters>
  <Lines>0</Lines>
  <Paragraphs>0</Paragraphs>
  <TotalTime>6</TotalTime>
  <ScaleCrop>false</ScaleCrop>
  <LinksUpToDate>false</LinksUpToDate>
  <CharactersWithSpaces>3090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Aizada Kyanishova</cp:lastModifiedBy>
  <cp:lastPrinted>2026-08-21T05:08:04Z</cp:lastPrinted>
  <dcterms:modified xsi:type="dcterms:W3CDTF">2026-08-21T05:09:17Z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eyJoZGlkIjoiYmFhNDI5YTk5ZTNhMjVmODRiODVhODcxMTA5MTk1NTkiLCJ1c2VySWQiOiI1Mzc3OTc2OTM5MDI3In0=</vt:lpwstr>
  </property>
  <property fmtid="{D5CDD505-2E9C-101B-9397-08002B2CF9AE}" pid="3" name="KSOProductBuildVer">
    <vt:lpwstr>1049-12.1.0.28032</vt:lpwstr>
  </property>
  <property fmtid="{D5CDD505-2E9C-101B-9397-08002B2CF9AE}" pid="4" name="ICV">
    <vt:lpwstr>9DABCCDAA04148519330DDC6DC0CBD39_13</vt:lpwstr>
  </property>
</Properties>
</file>