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4A5FCC">
      <w:pPr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ҚР «БІЛІМ ТУРАЛЫ» ЗАҢЫ</w:t>
      </w:r>
      <w:r>
        <w:rPr>
          <w:rFonts w:hint="default" w:ascii="Times New Roman" w:hAnsi="Times New Roman" w:cs="Times New Roman"/>
          <w:b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sz w:val="28"/>
          <w:szCs w:val="28"/>
        </w:rPr>
        <w:t>Бөбекжайға қатысты ең негізгі нормалар — қысқаша шпаргалка</w:t>
      </w:r>
    </w:p>
    <w:p w14:paraId="7832610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Негізі: </w:t>
      </w:r>
      <w:r>
        <w:rPr>
          <w:rFonts w:hint="default" w:ascii="Times New Roman" w:hAnsi="Times New Roman" w:cs="Times New Roman"/>
          <w:sz w:val="28"/>
          <w:szCs w:val="28"/>
        </w:rPr>
        <w:t>Қазақстан Республикасының 2007 жылғы 27 шілдедегі №319 Заңы. 2026 жылғы қолданыстағы редакцияға сүйеніп жасалған. Бұл қысқаша нұсқа толық заң мәтінін алмастырмайды.</w:t>
      </w:r>
    </w:p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1"/>
        <w:gridCol w:w="4083"/>
        <w:gridCol w:w="4597"/>
      </w:tblGrid>
      <w:tr w14:paraId="22263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1" w:type="dxa"/>
            <w:shd w:val="clear" w:color="auto" w:fill="D9EAF7"/>
          </w:tcPr>
          <w:p w14:paraId="2D30C8C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Бап</w:t>
            </w:r>
          </w:p>
        </w:tc>
        <w:tc>
          <w:tcPr>
            <w:tcW w:w="4083" w:type="dxa"/>
            <w:shd w:val="clear" w:color="auto" w:fill="D9EAF7"/>
          </w:tcPr>
          <w:p w14:paraId="1FC6C13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Тақыры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бы</w:t>
            </w:r>
          </w:p>
        </w:tc>
        <w:tc>
          <w:tcPr>
            <w:tcW w:w="4597" w:type="dxa"/>
            <w:shd w:val="clear" w:color="auto" w:fill="D9EAF7"/>
          </w:tcPr>
          <w:p w14:paraId="24AE783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Бөбекжай үшін қысқаша мәні</w:t>
            </w:r>
          </w:p>
        </w:tc>
      </w:tr>
      <w:tr w14:paraId="712C8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1" w:type="dxa"/>
            <w:vAlign w:val="center"/>
          </w:tcPr>
          <w:p w14:paraId="22E57543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1–3-баптар</w:t>
            </w:r>
          </w:p>
        </w:tc>
        <w:tc>
          <w:tcPr>
            <w:tcW w:w="4083" w:type="dxa"/>
            <w:vAlign w:val="center"/>
          </w:tcPr>
          <w:p w14:paraId="3CABB34D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Негізгі ұғымдар және қағидаттар</w:t>
            </w:r>
          </w:p>
        </w:tc>
        <w:tc>
          <w:tcPr>
            <w:tcW w:w="4597" w:type="dxa"/>
            <w:vAlign w:val="center"/>
          </w:tcPr>
          <w:p w14:paraId="433A209E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Сапалы білім алу құқығы, тең мүмкіндік, баланың дамуы, адамгершілік және қауіпсіз білім беру ортасы.</w:t>
            </w:r>
          </w:p>
        </w:tc>
      </w:tr>
      <w:tr w14:paraId="37AAC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1" w:type="dxa"/>
            <w:vAlign w:val="center"/>
          </w:tcPr>
          <w:p w14:paraId="26B6429A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5-бап</w:t>
            </w:r>
          </w:p>
        </w:tc>
        <w:tc>
          <w:tcPr>
            <w:tcW w:w="4083" w:type="dxa"/>
            <w:vAlign w:val="center"/>
          </w:tcPr>
          <w:p w14:paraId="5B92DA7A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Уәкілетті органның құзыреті</w:t>
            </w:r>
          </w:p>
        </w:tc>
        <w:tc>
          <w:tcPr>
            <w:tcW w:w="4597" w:type="dxa"/>
            <w:vAlign w:val="center"/>
          </w:tcPr>
          <w:p w14:paraId="08DAD6B6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Мектепке дейінгі тәрбие мен оқытуға қатысты стандарттар, үлгілік қағидалар, бағдарламалар және басқа талаптар уәкілетті орган арқылы айқындалады.</w:t>
            </w:r>
          </w:p>
        </w:tc>
      </w:tr>
      <w:tr w14:paraId="7C3A2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1" w:type="dxa"/>
            <w:vAlign w:val="center"/>
          </w:tcPr>
          <w:p w14:paraId="4F6DBD07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6-бап</w:t>
            </w:r>
          </w:p>
        </w:tc>
        <w:tc>
          <w:tcPr>
            <w:tcW w:w="4083" w:type="dxa"/>
            <w:vAlign w:val="center"/>
          </w:tcPr>
          <w:p w14:paraId="3467EA48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Жергілікті атқарушы органдардың құзыреті</w:t>
            </w:r>
          </w:p>
        </w:tc>
        <w:tc>
          <w:tcPr>
            <w:tcW w:w="4597" w:type="dxa"/>
            <w:vAlign w:val="center"/>
          </w:tcPr>
          <w:p w14:paraId="6D766B59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Өңірде мектепке дейінгі тәрбие мен оқытуды ұйымдастыру, мемлекеттік тапсырыс және қолжетімділікті қамтамасыз ету мәселелері.</w:t>
            </w:r>
          </w:p>
        </w:tc>
      </w:tr>
      <w:tr w14:paraId="51C69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1" w:type="dxa"/>
            <w:vAlign w:val="center"/>
          </w:tcPr>
          <w:p w14:paraId="77D8EB75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8-бап</w:t>
            </w:r>
          </w:p>
        </w:tc>
        <w:tc>
          <w:tcPr>
            <w:tcW w:w="4083" w:type="dxa"/>
            <w:vAlign w:val="center"/>
          </w:tcPr>
          <w:p w14:paraId="00D8F1DD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Білім беру саласындағы мемлекеттік кепілдіктер</w:t>
            </w:r>
          </w:p>
        </w:tc>
        <w:tc>
          <w:tcPr>
            <w:tcW w:w="4597" w:type="dxa"/>
            <w:vAlign w:val="center"/>
          </w:tcPr>
          <w:p w14:paraId="55D0D195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Балалардың білім алуға тең қолжетімділігі мен құқықтарын қамтамасыз ету қағидаты.</w:t>
            </w:r>
          </w:p>
        </w:tc>
      </w:tr>
      <w:tr w14:paraId="07666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1" w:type="dxa"/>
            <w:vAlign w:val="center"/>
          </w:tcPr>
          <w:p w14:paraId="4389C8C9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11-бап</w:t>
            </w:r>
          </w:p>
        </w:tc>
        <w:tc>
          <w:tcPr>
            <w:tcW w:w="4083" w:type="dxa"/>
            <w:vAlign w:val="center"/>
          </w:tcPr>
          <w:p w14:paraId="01727F8E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Білім беру жүйесінің міндеттері</w:t>
            </w:r>
          </w:p>
        </w:tc>
        <w:tc>
          <w:tcPr>
            <w:tcW w:w="4597" w:type="dxa"/>
            <w:vAlign w:val="center"/>
          </w:tcPr>
          <w:p w14:paraId="1D3204E4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Баланың жеке қабілетін дамыту, тәрбиелеу, денсаулығын сақтау, шығармашылық және рухани дамуына жағдай жасау.</w:t>
            </w:r>
          </w:p>
        </w:tc>
      </w:tr>
      <w:tr w14:paraId="68FE9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1" w:type="dxa"/>
            <w:vAlign w:val="center"/>
          </w:tcPr>
          <w:p w14:paraId="320F7702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12-бап</w:t>
            </w:r>
          </w:p>
        </w:tc>
        <w:tc>
          <w:tcPr>
            <w:tcW w:w="4083" w:type="dxa"/>
            <w:vAlign w:val="center"/>
          </w:tcPr>
          <w:p w14:paraId="239AFC91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Білім беру деңгейлері</w:t>
            </w:r>
          </w:p>
        </w:tc>
        <w:tc>
          <w:tcPr>
            <w:tcW w:w="4597" w:type="dxa"/>
            <w:vAlign w:val="center"/>
          </w:tcPr>
          <w:p w14:paraId="5F64A563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Мектепке дейінгі тәрбие мен оқыту білім беру жүйесінің бастапқы деңгейі ретінде қаралады.</w:t>
            </w:r>
          </w:p>
        </w:tc>
      </w:tr>
      <w:tr w14:paraId="6ADF8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1" w:type="dxa"/>
            <w:vAlign w:val="center"/>
          </w:tcPr>
          <w:p w14:paraId="6387730D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14-бап</w:t>
            </w:r>
          </w:p>
        </w:tc>
        <w:tc>
          <w:tcPr>
            <w:tcW w:w="4083" w:type="dxa"/>
            <w:vAlign w:val="center"/>
          </w:tcPr>
          <w:p w14:paraId="4A624FDB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Білім беру бағдарламалары</w:t>
            </w:r>
          </w:p>
        </w:tc>
        <w:tc>
          <w:tcPr>
            <w:tcW w:w="4597" w:type="dxa"/>
            <w:vAlign w:val="center"/>
          </w:tcPr>
          <w:p w14:paraId="611285FA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Мектепке дейінгі ұйымның тәрбиелеу-білім беру процесі тиісті білім беру бағдарламалары негізінде ұйымдастырылады.</w:t>
            </w:r>
          </w:p>
        </w:tc>
      </w:tr>
      <w:tr w14:paraId="1FF72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1" w:type="dxa"/>
            <w:vAlign w:val="center"/>
          </w:tcPr>
          <w:p w14:paraId="215F3D3B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18-бап</w:t>
            </w:r>
          </w:p>
        </w:tc>
        <w:tc>
          <w:tcPr>
            <w:tcW w:w="4083" w:type="dxa"/>
            <w:vAlign w:val="center"/>
          </w:tcPr>
          <w:p w14:paraId="06E17EE9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Мектепке дейінгі тәрбие мен оқытудың бағдарламалары</w:t>
            </w:r>
          </w:p>
        </w:tc>
        <w:tc>
          <w:tcPr>
            <w:tcW w:w="4597" w:type="dxa"/>
            <w:vAlign w:val="center"/>
          </w:tcPr>
          <w:p w14:paraId="7B8DDEA6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Тәрбие, оқыту, дамыту және сауықтыру бірлігін, мектеп пен балабақша сабақтастығын қамтамасыз етеді; әр баланың ерекшелігі ескеріледі.</w:t>
            </w:r>
          </w:p>
        </w:tc>
      </w:tr>
      <w:tr w14:paraId="258E6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1" w:type="dxa"/>
            <w:vAlign w:val="center"/>
          </w:tcPr>
          <w:p w14:paraId="76F10893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30-бап</w:t>
            </w:r>
          </w:p>
        </w:tc>
        <w:tc>
          <w:tcPr>
            <w:tcW w:w="4083" w:type="dxa"/>
            <w:vAlign w:val="center"/>
          </w:tcPr>
          <w:p w14:paraId="75AAA5FA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Мектепке дейінгі тәрбие мен оқыту</w:t>
            </w:r>
          </w:p>
        </w:tc>
        <w:tc>
          <w:tcPr>
            <w:tcW w:w="4597" w:type="dxa"/>
            <w:vAlign w:val="center"/>
          </w:tcPr>
          <w:p w14:paraId="01D28028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Мектеп жасына дейінгі балаларды тәрбиелеу, оқыту, дамыту және мектепке дайындаудың негізгі құқықтық негіздерінің бірі.</w:t>
            </w:r>
          </w:p>
        </w:tc>
      </w:tr>
      <w:tr w14:paraId="7380E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1" w:type="dxa"/>
            <w:vAlign w:val="center"/>
          </w:tcPr>
          <w:p w14:paraId="1AE66D25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39-бап</w:t>
            </w:r>
          </w:p>
        </w:tc>
        <w:tc>
          <w:tcPr>
            <w:tcW w:w="4083" w:type="dxa"/>
            <w:vAlign w:val="center"/>
          </w:tcPr>
          <w:p w14:paraId="24E1C289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Білім беру ұйымдарының түрлері</w:t>
            </w:r>
          </w:p>
        </w:tc>
        <w:tc>
          <w:tcPr>
            <w:tcW w:w="4597" w:type="dxa"/>
            <w:vAlign w:val="center"/>
          </w:tcPr>
          <w:p w14:paraId="4A839D99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Мектепке дейінгі ұйым білім беру ұйымдарының жүйесіне кіреді және белгіленген талаптарға сәйкес қызмет етеді.</w:t>
            </w:r>
          </w:p>
        </w:tc>
      </w:tr>
      <w:tr w14:paraId="21E9B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1" w:type="dxa"/>
            <w:vAlign w:val="center"/>
          </w:tcPr>
          <w:p w14:paraId="54666F39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41-бап</w:t>
            </w:r>
          </w:p>
        </w:tc>
        <w:tc>
          <w:tcPr>
            <w:tcW w:w="4083" w:type="dxa"/>
            <w:vAlign w:val="center"/>
          </w:tcPr>
          <w:p w14:paraId="7A7E7A46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Білім беру ұйымының жарғысы</w:t>
            </w:r>
          </w:p>
        </w:tc>
        <w:tc>
          <w:tcPr>
            <w:tcW w:w="4597" w:type="dxa"/>
            <w:vAlign w:val="center"/>
          </w:tcPr>
          <w:p w14:paraId="695996CE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Бөбекжай қызметі жарғыға сәйкес жүргізіледі. Басқару, мақсат-міндет, құқықтар мен міндеттер соған сәйкестендіріледі.</w:t>
            </w:r>
          </w:p>
        </w:tc>
      </w:tr>
      <w:tr w14:paraId="0DFC1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1" w:type="dxa"/>
            <w:vAlign w:val="center"/>
          </w:tcPr>
          <w:p w14:paraId="1393B3CB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43-бап</w:t>
            </w:r>
          </w:p>
        </w:tc>
        <w:tc>
          <w:tcPr>
            <w:tcW w:w="4083" w:type="dxa"/>
            <w:vAlign w:val="center"/>
          </w:tcPr>
          <w:p w14:paraId="43DB9450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Білім беру ұйымдарының құзыреті</w:t>
            </w:r>
          </w:p>
        </w:tc>
        <w:tc>
          <w:tcPr>
            <w:tcW w:w="4597" w:type="dxa"/>
            <w:vAlign w:val="center"/>
          </w:tcPr>
          <w:p w14:paraId="34C0EC5D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Ішкі тәртіп, білім беру процесін ұйымдастыру, кадрлық және басқарушылық мәселелер бойынша ұйымның өкілеттіктерін айқындайды.</w:t>
            </w:r>
          </w:p>
        </w:tc>
      </w:tr>
      <w:tr w14:paraId="2F5A8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1" w:type="dxa"/>
            <w:vAlign w:val="center"/>
          </w:tcPr>
          <w:p w14:paraId="794B44E6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44-бап</w:t>
            </w:r>
          </w:p>
        </w:tc>
        <w:tc>
          <w:tcPr>
            <w:tcW w:w="4083" w:type="dxa"/>
            <w:vAlign w:val="center"/>
          </w:tcPr>
          <w:p w14:paraId="7CFA08C2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Білім беру ұйымын басқару</w:t>
            </w:r>
          </w:p>
        </w:tc>
        <w:tc>
          <w:tcPr>
            <w:tcW w:w="4597" w:type="dxa"/>
            <w:vAlign w:val="center"/>
          </w:tcPr>
          <w:p w14:paraId="5579BDDB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Басшы ұйым қызметіне басшылық жасайды және заңнамаға сәйкес жауапкершілік атқарады.</w:t>
            </w:r>
          </w:p>
        </w:tc>
      </w:tr>
      <w:tr w14:paraId="4CF5A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1" w:type="dxa"/>
            <w:vAlign w:val="center"/>
          </w:tcPr>
          <w:p w14:paraId="1FBDBB0A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45-бап</w:t>
            </w:r>
          </w:p>
        </w:tc>
        <w:tc>
          <w:tcPr>
            <w:tcW w:w="4083" w:type="dxa"/>
            <w:vAlign w:val="center"/>
          </w:tcPr>
          <w:p w14:paraId="36BE7A92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Еңбек қатынастары және басшының жауапкершілігі</w:t>
            </w:r>
          </w:p>
        </w:tc>
        <w:tc>
          <w:tcPr>
            <w:tcW w:w="4597" w:type="dxa"/>
            <w:vAlign w:val="center"/>
          </w:tcPr>
          <w:p w14:paraId="585D5E11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Басшы мен қызметкерлердің қызметі білім беру және еңбек заңнамасымен қатар реттеледі.</w:t>
            </w:r>
          </w:p>
        </w:tc>
      </w:tr>
      <w:tr w14:paraId="55ACC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1" w:type="dxa"/>
            <w:vAlign w:val="center"/>
          </w:tcPr>
          <w:p w14:paraId="7A8A1DFE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47-бап</w:t>
            </w:r>
          </w:p>
        </w:tc>
        <w:tc>
          <w:tcPr>
            <w:tcW w:w="4083" w:type="dxa"/>
            <w:vAlign w:val="center"/>
          </w:tcPr>
          <w:p w14:paraId="75C38D27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Білім алушылар мен тәрбиеленушілердің құқықтары</w:t>
            </w:r>
          </w:p>
        </w:tc>
        <w:tc>
          <w:tcPr>
            <w:tcW w:w="4597" w:type="dxa"/>
            <w:vAlign w:val="center"/>
          </w:tcPr>
          <w:p w14:paraId="5FC3E4C6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Тәрбиеленушінің қауіпсіз ортаға, құрметке, сапалы тәрбие мен оқуға және денсаулығын қорғауға құқығы сақталуы тиіс.</w:t>
            </w:r>
          </w:p>
        </w:tc>
      </w:tr>
      <w:tr w14:paraId="5B6FD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1" w:type="dxa"/>
            <w:vAlign w:val="center"/>
          </w:tcPr>
          <w:p w14:paraId="2DE3C06E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48-бап</w:t>
            </w:r>
          </w:p>
        </w:tc>
        <w:tc>
          <w:tcPr>
            <w:tcW w:w="4083" w:type="dxa"/>
            <w:vAlign w:val="center"/>
          </w:tcPr>
          <w:p w14:paraId="316CAAB2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Тәрбиеленушілердің денсаулығын сақтау</w:t>
            </w:r>
          </w:p>
        </w:tc>
        <w:tc>
          <w:tcPr>
            <w:tcW w:w="4597" w:type="dxa"/>
            <w:vAlign w:val="center"/>
          </w:tcPr>
          <w:p w14:paraId="67A46D48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Санитариялық жағдай, тамақтану, қауіпсіздік, дене және психологиялық саулықты қорғау бөбекжай үшін аса маңызды.</w:t>
            </w:r>
          </w:p>
        </w:tc>
      </w:tr>
      <w:tr w14:paraId="3398F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1" w:type="dxa"/>
            <w:vAlign w:val="center"/>
          </w:tcPr>
          <w:p w14:paraId="5B98D303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49-бап</w:t>
            </w:r>
          </w:p>
        </w:tc>
        <w:tc>
          <w:tcPr>
            <w:tcW w:w="4083" w:type="dxa"/>
            <w:vAlign w:val="center"/>
          </w:tcPr>
          <w:p w14:paraId="635E0F2D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Ата-аналардың құқықтары мен міндеттері</w:t>
            </w:r>
          </w:p>
        </w:tc>
        <w:tc>
          <w:tcPr>
            <w:tcW w:w="4597" w:type="dxa"/>
            <w:vAlign w:val="center"/>
          </w:tcPr>
          <w:p w14:paraId="3A39CCBA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Ата-ана баласының тәрбиесі мен білім алуына қатысуға, ақпарат алуға және заңда көзделген міндеттерді орындауға құқылы әрі міндетті.</w:t>
            </w:r>
          </w:p>
        </w:tc>
      </w:tr>
      <w:tr w14:paraId="78B93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1" w:type="dxa"/>
            <w:vAlign w:val="center"/>
          </w:tcPr>
          <w:p w14:paraId="4FB4D8F8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51-бап</w:t>
            </w:r>
          </w:p>
        </w:tc>
        <w:tc>
          <w:tcPr>
            <w:tcW w:w="4083" w:type="dxa"/>
            <w:vAlign w:val="center"/>
          </w:tcPr>
          <w:p w14:paraId="30A37A20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Педагогтің құқықтары, міндеттері және жауапкершілігі</w:t>
            </w:r>
          </w:p>
        </w:tc>
        <w:tc>
          <w:tcPr>
            <w:tcW w:w="4597" w:type="dxa"/>
            <w:vAlign w:val="center"/>
          </w:tcPr>
          <w:p w14:paraId="76B450BC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Педагог кәсіби міндетін сапалы орындауы, баланың қадір-қасиетін құрметтеуі, кәсіби әдеп пен қауіпсіздік талаптарын сақтауы керек.</w:t>
            </w:r>
          </w:p>
        </w:tc>
      </w:tr>
      <w:tr w14:paraId="299C5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1" w:type="dxa"/>
            <w:vAlign w:val="center"/>
          </w:tcPr>
          <w:p w14:paraId="62A696FE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53-бап</w:t>
            </w:r>
          </w:p>
        </w:tc>
        <w:tc>
          <w:tcPr>
            <w:tcW w:w="4083" w:type="dxa"/>
            <w:vAlign w:val="center"/>
          </w:tcPr>
          <w:p w14:paraId="6F601384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Педагогтерді әлеуметтік қолдау</w:t>
            </w:r>
          </w:p>
        </w:tc>
        <w:tc>
          <w:tcPr>
            <w:tcW w:w="4597" w:type="dxa"/>
            <w:vAlign w:val="center"/>
          </w:tcPr>
          <w:p w14:paraId="3EA1BF47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Педагогтердің заңда белгіленген әлеуметтік кепілдіктері мен еңбек жағдайларына қатысты нормалар.</w:t>
            </w:r>
          </w:p>
        </w:tc>
      </w:tr>
      <w:tr w14:paraId="2595D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1" w:type="dxa"/>
            <w:vAlign w:val="center"/>
          </w:tcPr>
          <w:p w14:paraId="74C916A1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59-бап</w:t>
            </w:r>
          </w:p>
        </w:tc>
        <w:tc>
          <w:tcPr>
            <w:tcW w:w="4083" w:type="dxa"/>
            <w:vAlign w:val="center"/>
          </w:tcPr>
          <w:p w14:paraId="21F0034F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Білім беру жүйесіндегі мемлекеттік бақылау</w:t>
            </w:r>
          </w:p>
        </w:tc>
        <w:tc>
          <w:tcPr>
            <w:tcW w:w="4597" w:type="dxa"/>
            <w:vAlign w:val="center"/>
          </w:tcPr>
          <w:p w14:paraId="441DD588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Бөбекжай қызметінің заңнамаға, стандарттар мен міндетті талаптарға сәйкестігі бақылауға жатады.</w:t>
            </w:r>
          </w:p>
        </w:tc>
      </w:tr>
      <w:tr w14:paraId="38EDB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1" w:type="dxa"/>
            <w:vAlign w:val="center"/>
          </w:tcPr>
          <w:p w14:paraId="7E1EC865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62-бап</w:t>
            </w:r>
          </w:p>
        </w:tc>
        <w:tc>
          <w:tcPr>
            <w:tcW w:w="4083" w:type="dxa"/>
            <w:vAlign w:val="center"/>
          </w:tcPr>
          <w:p w14:paraId="1DCB6DFD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Білім беру жүйесін қаржыландыру</w:t>
            </w:r>
          </w:p>
        </w:tc>
        <w:tc>
          <w:tcPr>
            <w:tcW w:w="4597" w:type="dxa"/>
            <w:vAlign w:val="center"/>
          </w:tcPr>
          <w:p w14:paraId="50E1902B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Мемлекеттік ұйымның қаржыландырылуы, мемлекеттік білім беру тапсырысы және қаражатты заңды пайдалану қағидалары.</w:t>
            </w:r>
          </w:p>
        </w:tc>
      </w:tr>
      <w:tr w14:paraId="706D8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1" w:type="dxa"/>
            <w:vAlign w:val="center"/>
          </w:tcPr>
          <w:p w14:paraId="5A28CA46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63-бап</w:t>
            </w:r>
          </w:p>
        </w:tc>
        <w:tc>
          <w:tcPr>
            <w:tcW w:w="4083" w:type="dxa"/>
            <w:vAlign w:val="center"/>
          </w:tcPr>
          <w:p w14:paraId="4272BD98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Ақылы қызметтер</w:t>
            </w:r>
          </w:p>
        </w:tc>
        <w:tc>
          <w:tcPr>
            <w:tcW w:w="4597" w:type="dxa"/>
            <w:vAlign w:val="center"/>
          </w:tcPr>
          <w:p w14:paraId="6C3E66AB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Ақылы қызмет көрсетілген жағдайда оның заңда белгіленген шеңбері мен тәртібін сақтау қажет.</w:t>
            </w:r>
          </w:p>
        </w:tc>
      </w:tr>
    </w:tbl>
    <w:p w14:paraId="6EEC009F">
      <w:pPr>
        <w:rPr>
          <w:rFonts w:hint="default" w:ascii="Times New Roman" w:hAnsi="Times New Roman" w:cs="Times New Roman"/>
          <w:sz w:val="28"/>
          <w:szCs w:val="28"/>
        </w:rPr>
      </w:pPr>
    </w:p>
    <w:p w14:paraId="57B4E20C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Бөбекжайда міндетті есте ұстайтын негізгі қағидалар</w:t>
      </w:r>
    </w:p>
    <w:p w14:paraId="00894D8E">
      <w:pPr>
        <w:spacing w:after="6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1. </w:t>
      </w:r>
      <w:r>
        <w:rPr>
          <w:rFonts w:hint="default" w:ascii="Times New Roman" w:hAnsi="Times New Roman" w:cs="Times New Roman"/>
          <w:sz w:val="28"/>
          <w:szCs w:val="28"/>
        </w:rPr>
        <w:t>Тәрбиелеу-білім беру процесін мемлекеттік жалпыға міндетті стандарт пен қолданыстағы бағдарламаларға сәйкес ұйымдастыру.</w:t>
      </w:r>
    </w:p>
    <w:p w14:paraId="1EEE79E5">
      <w:pPr>
        <w:spacing w:after="6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2. </w:t>
      </w:r>
      <w:r>
        <w:rPr>
          <w:rFonts w:hint="default" w:ascii="Times New Roman" w:hAnsi="Times New Roman" w:cs="Times New Roman"/>
          <w:sz w:val="28"/>
          <w:szCs w:val="28"/>
        </w:rPr>
        <w:t>Әр баланың жасын, жеке даму ерекшелігін, қабілетін және денсаулық жағдайын ескеру.</w:t>
      </w:r>
    </w:p>
    <w:p w14:paraId="2417499F">
      <w:pPr>
        <w:spacing w:after="6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3. </w:t>
      </w:r>
      <w:r>
        <w:rPr>
          <w:rFonts w:hint="default" w:ascii="Times New Roman" w:hAnsi="Times New Roman" w:cs="Times New Roman"/>
          <w:sz w:val="28"/>
          <w:szCs w:val="28"/>
        </w:rPr>
        <w:t>Мектепке дейінгі тәрбие мен бастауыш білім арасындағы сабақтастықты қамтамасыз ету.</w:t>
      </w:r>
    </w:p>
    <w:p w14:paraId="3C655429">
      <w:pPr>
        <w:spacing w:after="6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4. </w:t>
      </w:r>
      <w:r>
        <w:rPr>
          <w:rFonts w:hint="default" w:ascii="Times New Roman" w:hAnsi="Times New Roman" w:cs="Times New Roman"/>
          <w:sz w:val="28"/>
          <w:szCs w:val="28"/>
        </w:rPr>
        <w:t>Баланың өмірі мен денсаулығын, психологиялық және физикалық қауіпсіздігін бірінші орынға қою.</w:t>
      </w:r>
    </w:p>
    <w:p w14:paraId="7B0ED437">
      <w:pPr>
        <w:spacing w:after="6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5. </w:t>
      </w:r>
      <w:r>
        <w:rPr>
          <w:rFonts w:hint="default" w:ascii="Times New Roman" w:hAnsi="Times New Roman" w:cs="Times New Roman"/>
          <w:sz w:val="28"/>
          <w:szCs w:val="28"/>
        </w:rPr>
        <w:t>Ата-анамен заңды және ашық қарым-қатынас жүргізу, баланың дамуы туралы қажетті ақпарат беру.</w:t>
      </w:r>
    </w:p>
    <w:p w14:paraId="2ECE533B">
      <w:pPr>
        <w:spacing w:after="6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6. </w:t>
      </w:r>
      <w:r>
        <w:rPr>
          <w:rFonts w:hint="default" w:ascii="Times New Roman" w:hAnsi="Times New Roman" w:cs="Times New Roman"/>
          <w:sz w:val="28"/>
          <w:szCs w:val="28"/>
        </w:rPr>
        <w:t>Инклюзивті білім алуға және ерекше білім беру қажеттіліктері бар балаларға қолжетімді жағдай жасау.</w:t>
      </w:r>
    </w:p>
    <w:p w14:paraId="66EE5062">
      <w:pPr>
        <w:spacing w:after="6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7. </w:t>
      </w:r>
      <w:r>
        <w:rPr>
          <w:rFonts w:hint="default" w:ascii="Times New Roman" w:hAnsi="Times New Roman" w:cs="Times New Roman"/>
          <w:sz w:val="28"/>
          <w:szCs w:val="28"/>
        </w:rPr>
        <w:t>Педагогтердің кәсіби әдепті, баланың қадір-қасиеті мен құқықтарын сақтауын қамтамасыз ету.</w:t>
      </w:r>
    </w:p>
    <w:p w14:paraId="2757608E">
      <w:pPr>
        <w:spacing w:after="6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8. </w:t>
      </w:r>
      <w:r>
        <w:rPr>
          <w:rFonts w:hint="default" w:ascii="Times New Roman" w:hAnsi="Times New Roman" w:cs="Times New Roman"/>
          <w:sz w:val="28"/>
          <w:szCs w:val="28"/>
        </w:rPr>
        <w:t>Ұйымның жарғысы, ішкі тәртіп қағидалары және міндетті нормативтік құжаттары қолданыста болуы керек.</w:t>
      </w:r>
    </w:p>
    <w:p w14:paraId="50F082A6">
      <w:pPr>
        <w:spacing w:after="6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9. </w:t>
      </w:r>
      <w:r>
        <w:rPr>
          <w:rFonts w:hint="default" w:ascii="Times New Roman" w:hAnsi="Times New Roman" w:cs="Times New Roman"/>
          <w:sz w:val="28"/>
          <w:szCs w:val="28"/>
        </w:rPr>
        <w:t>Мемлекеттік бақылау немесе аттестаттау кезінде нақты құжаттар мен тәрбиелеу-білім беру процесінің сәйкестігін қамтамасыз ету.</w:t>
      </w:r>
    </w:p>
    <w:p w14:paraId="1C2B130B">
      <w:pPr>
        <w:spacing w:after="6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10. </w:t>
      </w:r>
      <w:r>
        <w:rPr>
          <w:rFonts w:hint="default" w:ascii="Times New Roman" w:hAnsi="Times New Roman" w:cs="Times New Roman"/>
          <w:sz w:val="28"/>
          <w:szCs w:val="28"/>
        </w:rPr>
        <w:t>Заң өзгерген сайын қолданылатын бұйрықтар, стандарттар мен үлгілік қағидалардың жаңа редакциясын тексеріп отыру.</w:t>
      </w:r>
    </w:p>
    <w:p w14:paraId="351BD19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Ресми дереккөз: </w:t>
      </w:r>
      <w:r>
        <w:rPr>
          <w:rFonts w:hint="default" w:ascii="Times New Roman" w:hAnsi="Times New Roman" w:cs="Times New Roman"/>
          <w:sz w:val="28"/>
          <w:szCs w:val="28"/>
        </w:rPr>
        <w:t>«Әділет» АҚЖ — ҚР 27.07.2007 №319 «Білім туралы» Заңы. Құжаттың өзгерту күні: 14.07.2026.</w:t>
      </w:r>
    </w:p>
    <w:sectPr>
      <w:pgSz w:w="12240" w:h="15840"/>
      <w:pgMar w:top="907" w:right="964" w:bottom="907" w:left="96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18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8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4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2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F4B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1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16">
    <w:name w:val="Body Text 2"/>
    <w:basedOn w:val="1"/>
    <w:link w:val="47"/>
    <w:unhideWhenUsed/>
    <w:qFormat/>
    <w:uiPriority w:val="99"/>
    <w:pPr>
      <w:spacing w:after="120" w:line="480" w:lineRule="auto"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Number 3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9">
    <w:name w:val="header"/>
    <w:basedOn w:val="1"/>
    <w:link w:val="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Body Text"/>
    <w:basedOn w:val="1"/>
    <w:link w:val="46"/>
    <w:unhideWhenUsed/>
    <w:qFormat/>
    <w:uiPriority w:val="99"/>
    <w:pPr>
      <w:spacing w:after="120"/>
    </w:pPr>
  </w:style>
  <w:style w:type="paragraph" w:styleId="21">
    <w:name w:val="macro"/>
    <w:link w:val="49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2">
    <w:name w:val="List Bullet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4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25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26">
    <w:name w:val="foot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List Number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8">
    <w:name w:val="List Number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Body Text 3"/>
    <w:basedOn w:val="1"/>
    <w:link w:val="48"/>
    <w:unhideWhenUsed/>
    <w:qFormat/>
    <w:uiPriority w:val="99"/>
    <w:pPr>
      <w:spacing w:after="120"/>
    </w:pPr>
    <w:rPr>
      <w:sz w:val="16"/>
      <w:szCs w:val="16"/>
    </w:rPr>
  </w:style>
  <w:style w:type="paragraph" w:styleId="31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2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3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4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35">
    <w:name w:val="List 3"/>
    <w:basedOn w:val="1"/>
    <w:unhideWhenUsed/>
    <w:qFormat/>
    <w:uiPriority w:val="99"/>
    <w:pPr>
      <w:ind w:left="1080" w:hanging="360"/>
      <w:contextualSpacing/>
    </w:pPr>
  </w:style>
  <w:style w:type="table" w:styleId="36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Header Char"/>
    <w:basedOn w:val="11"/>
    <w:link w:val="19"/>
    <w:qFormat/>
    <w:uiPriority w:val="99"/>
  </w:style>
  <w:style w:type="character" w:customStyle="1" w:styleId="38">
    <w:name w:val="Footer Char"/>
    <w:basedOn w:val="11"/>
    <w:link w:val="26"/>
    <w:qFormat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itle Char"/>
    <w:basedOn w:val="11"/>
    <w:link w:val="25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itle Char"/>
    <w:basedOn w:val="11"/>
    <w:link w:val="3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Body Text Char"/>
    <w:basedOn w:val="11"/>
    <w:link w:val="20"/>
    <w:uiPriority w:val="99"/>
  </w:style>
  <w:style w:type="character" w:customStyle="1" w:styleId="47">
    <w:name w:val="Body Text 2 Char"/>
    <w:basedOn w:val="11"/>
    <w:link w:val="16"/>
    <w:uiPriority w:val="99"/>
  </w:style>
  <w:style w:type="character" w:customStyle="1" w:styleId="48">
    <w:name w:val="Body Text 3 Char"/>
    <w:basedOn w:val="11"/>
    <w:link w:val="30"/>
    <w:uiPriority w:val="99"/>
    <w:rPr>
      <w:sz w:val="16"/>
      <w:szCs w:val="16"/>
    </w:rPr>
  </w:style>
  <w:style w:type="character" w:customStyle="1" w:styleId="49">
    <w:name w:val="Macro Text Char"/>
    <w:basedOn w:val="11"/>
    <w:link w:val="21"/>
    <w:qFormat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Quote Char"/>
    <w:basedOn w:val="11"/>
    <w:link w:val="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Intense Quote Char"/>
    <w:basedOn w:val="11"/>
    <w:link w:val="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586</Words>
  <Characters>4265</Characters>
  <Lines>0</Lines>
  <Paragraphs>0</Paragraphs>
  <TotalTime>2</TotalTime>
  <ScaleCrop>false</ScaleCrop>
  <LinksUpToDate>false</LinksUpToDate>
  <CharactersWithSpaces>4767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Aizada Kyanishova</cp:lastModifiedBy>
  <cp:lastPrinted>2026-08-21T04:53:24Z</cp:lastPrinted>
  <dcterms:modified xsi:type="dcterms:W3CDTF">2026-08-21T04:54:18Z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eyJoZGlkIjoiYmFhNDI5YTk5ZTNhMjVmODRiODVhODcxMTA5MTk1NTkiLCJ1c2VySWQiOiI1Mzc3OTc2OTM5MDI3In0=</vt:lpwstr>
  </property>
  <property fmtid="{D5CDD505-2E9C-101B-9397-08002B2CF9AE}" pid="3" name="KSOProductBuildVer">
    <vt:lpwstr>1049-12.1.0.28032</vt:lpwstr>
  </property>
  <property fmtid="{D5CDD505-2E9C-101B-9397-08002B2CF9AE}" pid="4" name="ICV">
    <vt:lpwstr>2B60BE4CFA5B44B99D16C27A5D396F8F_13</vt:lpwstr>
  </property>
</Properties>
</file>